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黑体" w:hAnsi="黑体" w:eastAsia="黑体"/>
          <w:snapToGrid w:val="0"/>
          <w:color w:val="000000"/>
          <w:kern w:val="0"/>
          <w:sz w:val="30"/>
          <w:szCs w:val="30"/>
        </w:rPr>
      </w:pPr>
      <w:r>
        <w:rPr>
          <w:rFonts w:hint="eastAsia" w:ascii="黑体" w:hAnsi="黑体" w:eastAsia="黑体"/>
          <w:snapToGrid w:val="0"/>
          <w:color w:val="000000"/>
          <w:kern w:val="0"/>
          <w:sz w:val="30"/>
          <w:szCs w:val="30"/>
        </w:rPr>
        <w:t>附件</w:t>
      </w:r>
    </w:p>
    <w:p>
      <w:pPr>
        <w:adjustRightInd w:val="0"/>
        <w:snapToGrid w:val="0"/>
        <w:spacing w:line="580" w:lineRule="exact"/>
        <w:jc w:val="center"/>
        <w:rPr>
          <w:rFonts w:ascii="方正小标宋简体" w:eastAsia="方正小标宋简体"/>
          <w:snapToGrid w:val="0"/>
          <w:color w:val="000000"/>
          <w:kern w:val="0"/>
          <w:sz w:val="44"/>
          <w:szCs w:val="44"/>
        </w:rPr>
      </w:pPr>
      <w:bookmarkStart w:id="0" w:name="_GoBack"/>
      <w:r>
        <w:rPr>
          <w:rFonts w:hint="eastAsia" w:ascii="方正小标宋简体" w:eastAsia="方正小标宋简体"/>
          <w:snapToGrid w:val="0"/>
          <w:color w:val="000000"/>
          <w:kern w:val="0"/>
          <w:sz w:val="44"/>
          <w:szCs w:val="44"/>
        </w:rPr>
        <w:t>周口职业技术学院</w:t>
      </w:r>
      <w:r>
        <w:rPr>
          <w:rFonts w:ascii="方正小标宋简体" w:eastAsia="方正小标宋简体"/>
          <w:snapToGrid w:val="0"/>
          <w:color w:val="000000"/>
          <w:kern w:val="0"/>
          <w:sz w:val="44"/>
          <w:szCs w:val="44"/>
        </w:rPr>
        <w:t>201</w:t>
      </w:r>
      <w:r>
        <w:rPr>
          <w:rFonts w:hint="eastAsia" w:ascii="方正小标宋简体" w:eastAsia="方正小标宋简体"/>
          <w:snapToGrid w:val="0"/>
          <w:color w:val="000000"/>
          <w:kern w:val="0"/>
          <w:sz w:val="44"/>
          <w:szCs w:val="44"/>
        </w:rPr>
        <w:t>9年工作要点责任分解表</w:t>
      </w:r>
      <w:bookmarkEnd w:id="0"/>
    </w:p>
    <w:tbl>
      <w:tblPr>
        <w:tblStyle w:val="6"/>
        <w:tblW w:w="14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826"/>
        <w:gridCol w:w="1111"/>
        <w:gridCol w:w="1746"/>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0322" w:type="dxa"/>
            <w:gridSpan w:val="2"/>
            <w:shd w:val="clear" w:color="auto" w:fill="auto"/>
            <w:vAlign w:val="center"/>
          </w:tcPr>
          <w:p>
            <w:pPr>
              <w:adjustRightInd w:val="0"/>
              <w:snapToGrid w:val="0"/>
              <w:spacing w:line="400" w:lineRule="exact"/>
              <w:jc w:val="center"/>
              <w:rPr>
                <w:rFonts w:ascii="宋体" w:hAnsi="宋体"/>
                <w:b/>
                <w:snapToGrid w:val="0"/>
                <w:color w:val="000000"/>
                <w:kern w:val="0"/>
                <w:sz w:val="24"/>
              </w:rPr>
            </w:pPr>
            <w:r>
              <w:rPr>
                <w:rFonts w:hint="eastAsia" w:ascii="宋体" w:hAnsi="宋体"/>
                <w:b/>
                <w:snapToGrid w:val="0"/>
                <w:color w:val="000000"/>
                <w:kern w:val="0"/>
                <w:sz w:val="24"/>
              </w:rPr>
              <w:t>重点工作任务</w:t>
            </w:r>
          </w:p>
        </w:tc>
        <w:tc>
          <w:tcPr>
            <w:tcW w:w="1111" w:type="dxa"/>
            <w:shd w:val="clear" w:color="auto" w:fill="auto"/>
            <w:vAlign w:val="center"/>
          </w:tcPr>
          <w:p>
            <w:pPr>
              <w:adjustRightInd w:val="0"/>
              <w:snapToGrid w:val="0"/>
              <w:spacing w:line="400" w:lineRule="exact"/>
              <w:ind w:left="-24" w:leftChars="-85" w:right="-107" w:rightChars="-51" w:hanging="154" w:hangingChars="64"/>
              <w:jc w:val="center"/>
              <w:rPr>
                <w:rFonts w:ascii="宋体" w:hAnsi="宋体"/>
                <w:b/>
                <w:snapToGrid w:val="0"/>
                <w:color w:val="000000"/>
                <w:kern w:val="0"/>
                <w:sz w:val="24"/>
              </w:rPr>
            </w:pPr>
            <w:r>
              <w:rPr>
                <w:rFonts w:hint="eastAsia" w:ascii="宋体" w:hAnsi="宋体"/>
                <w:b/>
                <w:snapToGrid w:val="0"/>
                <w:color w:val="000000"/>
                <w:kern w:val="0"/>
                <w:sz w:val="24"/>
              </w:rPr>
              <w:t>牵头领导</w:t>
            </w:r>
          </w:p>
        </w:tc>
        <w:tc>
          <w:tcPr>
            <w:tcW w:w="1746" w:type="dxa"/>
            <w:shd w:val="clear" w:color="auto" w:fill="auto"/>
            <w:vAlign w:val="center"/>
          </w:tcPr>
          <w:p>
            <w:pPr>
              <w:adjustRightInd w:val="0"/>
              <w:snapToGrid w:val="0"/>
              <w:spacing w:line="400" w:lineRule="exact"/>
              <w:jc w:val="center"/>
              <w:rPr>
                <w:rFonts w:ascii="宋体" w:hAnsi="宋体"/>
                <w:b/>
                <w:snapToGrid w:val="0"/>
                <w:color w:val="000000"/>
                <w:kern w:val="0"/>
                <w:sz w:val="24"/>
              </w:rPr>
            </w:pPr>
            <w:r>
              <w:rPr>
                <w:rFonts w:hint="eastAsia" w:ascii="宋体" w:hAnsi="宋体"/>
                <w:b/>
                <w:snapToGrid w:val="0"/>
                <w:color w:val="000000"/>
                <w:kern w:val="0"/>
                <w:sz w:val="24"/>
              </w:rPr>
              <w:t>责任部门</w:t>
            </w:r>
          </w:p>
        </w:tc>
        <w:tc>
          <w:tcPr>
            <w:tcW w:w="1433" w:type="dxa"/>
            <w:shd w:val="clear" w:color="auto" w:fill="auto"/>
            <w:vAlign w:val="center"/>
          </w:tcPr>
          <w:p>
            <w:pPr>
              <w:adjustRightInd w:val="0"/>
              <w:snapToGrid w:val="0"/>
              <w:spacing w:line="400" w:lineRule="exact"/>
              <w:jc w:val="center"/>
              <w:rPr>
                <w:rFonts w:ascii="宋体" w:hAnsi="宋体"/>
                <w:b/>
                <w:snapToGrid w:val="0"/>
                <w:color w:val="000000"/>
                <w:kern w:val="0"/>
                <w:sz w:val="24"/>
              </w:rPr>
            </w:pPr>
            <w:r>
              <w:rPr>
                <w:rFonts w:hint="eastAsia" w:ascii="宋体" w:hAnsi="宋体"/>
                <w:b/>
                <w:snapToGrid w:val="0"/>
                <w:color w:val="000000"/>
                <w:kern w:val="0"/>
                <w:sz w:val="24"/>
              </w:rPr>
              <w:t>协助部门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restart"/>
            <w:shd w:val="clear" w:color="auto" w:fill="auto"/>
            <w:vAlign w:val="center"/>
          </w:tcPr>
          <w:p>
            <w:pPr>
              <w:spacing w:line="400" w:lineRule="exact"/>
              <w:rPr>
                <w:rFonts w:ascii="黑体" w:hAnsi="黑体" w:eastAsia="黑体"/>
                <w:color w:val="000000"/>
                <w:szCs w:val="21"/>
              </w:rPr>
            </w:pPr>
            <w:r>
              <w:rPr>
                <w:rFonts w:hint="eastAsia" w:ascii="黑体" w:hAnsi="黑体" w:eastAsia="黑体" w:cs="黑体"/>
                <w:snapToGrid w:val="0"/>
                <w:color w:val="000000"/>
                <w:kern w:val="0"/>
                <w:szCs w:val="21"/>
              </w:rPr>
              <w:t>一、</w:t>
            </w:r>
            <w:r>
              <w:rPr>
                <w:rFonts w:hint="eastAsia" w:ascii="黑体" w:hAnsi="黑体" w:eastAsia="黑体" w:cs="黑体"/>
                <w:bCs/>
                <w:color w:val="000000" w:themeColor="text1"/>
                <w:szCs w:val="21"/>
                <w14:textFill>
                  <w14:solidFill>
                    <w14:schemeClr w14:val="tx1"/>
                  </w14:solidFill>
                </w14:textFill>
              </w:rPr>
              <w:t>坚持全面从严治党，以党的建设高质量引领学校发展高质量</w:t>
            </w:r>
          </w:p>
        </w:tc>
        <w:tc>
          <w:tcPr>
            <w:tcW w:w="8826" w:type="dxa"/>
            <w:shd w:val="clear" w:color="auto" w:fill="auto"/>
            <w:vAlign w:val="center"/>
          </w:tcPr>
          <w:p>
            <w:pPr>
              <w:spacing w:line="400" w:lineRule="exact"/>
              <w:ind w:firstLine="422"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1.全面贯彻落实习近平新时代中国特色社会主义思想和党的十九大精神。</w:t>
            </w:r>
            <w:r>
              <w:rPr>
                <w:rFonts w:hint="eastAsia" w:ascii="仿宋" w:hAnsi="仿宋" w:eastAsia="仿宋" w:cs="仿宋"/>
                <w:bCs/>
                <w:color w:val="000000" w:themeColor="text1"/>
                <w:szCs w:val="21"/>
                <w14:textFill>
                  <w14:solidFill>
                    <w14:schemeClr w14:val="tx1"/>
                  </w14:solidFill>
                </w14:textFill>
              </w:rPr>
              <w:t>把学习宣传贯彻党的十九大精神作为首要政治任务，加强政治理论学习，引导全校党员干部以习近平新时代中国特色社会主义思想武装头脑、指导实践、推动工作。</w:t>
            </w:r>
          </w:p>
        </w:tc>
        <w:tc>
          <w:tcPr>
            <w:tcW w:w="1111"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刘士欣</w:t>
            </w:r>
          </w:p>
        </w:tc>
        <w:tc>
          <w:tcPr>
            <w:tcW w:w="1746"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宣传部</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组织统战部</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党政办公室</w:t>
            </w:r>
          </w:p>
        </w:tc>
        <w:tc>
          <w:tcPr>
            <w:tcW w:w="1433"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各总支、支部</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spacing w:line="400" w:lineRule="exact"/>
              <w:ind w:firstLine="422"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2.加强党委自身建设。</w:t>
            </w:r>
            <w:r>
              <w:rPr>
                <w:rFonts w:hint="eastAsia" w:ascii="仿宋" w:hAnsi="仿宋" w:eastAsia="仿宋" w:cs="仿宋"/>
                <w:bCs/>
                <w:color w:val="000000" w:themeColor="text1"/>
                <w:szCs w:val="21"/>
                <w14:textFill>
                  <w14:solidFill>
                    <w14:schemeClr w14:val="tx1"/>
                  </w14:solidFill>
                </w14:textFill>
              </w:rPr>
              <w:t>认真落实《关于坚持和完善普通高等学校党委领导下的校长负责制的实施意见》、完善校长办公会和党政联席会议制度，建设政治坚定、敢于担当、务实高效、团结和谐、清正廉洁的坚强领导班子。</w:t>
            </w:r>
          </w:p>
        </w:tc>
        <w:tc>
          <w:tcPr>
            <w:tcW w:w="1111" w:type="dxa"/>
            <w:shd w:val="clear" w:color="auto" w:fill="auto"/>
            <w:vAlign w:val="center"/>
          </w:tcPr>
          <w:p>
            <w:pPr>
              <w:adjustRightInd w:val="0"/>
              <w:snapToGrid w:val="0"/>
              <w:spacing w:line="400" w:lineRule="exact"/>
              <w:jc w:val="center"/>
              <w:rPr>
                <w:rFonts w:ascii="宋体" w:hAnsi="宋体" w:cs="仿宋_GB2312"/>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刘士欣</w:t>
            </w:r>
          </w:p>
        </w:tc>
        <w:tc>
          <w:tcPr>
            <w:tcW w:w="1746"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组织统战部</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党政办公室</w:t>
            </w:r>
          </w:p>
        </w:tc>
        <w:tc>
          <w:tcPr>
            <w:tcW w:w="1433"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各总支、支部</w:t>
            </w:r>
          </w:p>
          <w:p>
            <w:pPr>
              <w:adjustRightInd w:val="0"/>
              <w:snapToGrid w:val="0"/>
              <w:spacing w:line="400" w:lineRule="exact"/>
              <w:jc w:val="center"/>
              <w:rPr>
                <w:rFonts w:ascii="宋体" w:hAnsi="宋体" w:cs="仿宋_GB2312"/>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400" w:lineRule="exact"/>
              <w:ind w:firstLine="422" w:firstLineChars="200"/>
              <w:jc w:val="both"/>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3.强化思想政治工作。</w:t>
            </w:r>
            <w:r>
              <w:rPr>
                <w:rFonts w:hint="eastAsia" w:ascii="仿宋" w:hAnsi="仿宋" w:eastAsia="仿宋" w:cs="仿宋"/>
                <w:bCs/>
                <w:color w:val="000000" w:themeColor="text1"/>
                <w:sz w:val="21"/>
                <w:szCs w:val="21"/>
                <w14:textFill>
                  <w14:solidFill>
                    <w14:schemeClr w14:val="tx1"/>
                  </w14:solidFill>
                </w14:textFill>
              </w:rPr>
              <w:t>围绕立德树人根本任务，推动习近平新时代中国特色社会主义思想进课堂进教材进头脑，让思想政治教育贯穿人才培养全过程。贯彻落实全国、全省高校思想政治工作会议精神和《高校思想政治工作质量提升工程实施纲要》，构建“十大”育人体系，以主题教育活动为抓手，提升思想政治工作质量。开展反邪教警示教育工作，防范和抵御敌对势力利用宗教对校园渗透，</w:t>
            </w:r>
            <w:r>
              <w:rPr>
                <w:rFonts w:ascii="仿宋" w:hAnsi="仿宋" w:eastAsia="仿宋" w:cs="仿宋"/>
                <w:bCs/>
                <w:color w:val="000000" w:themeColor="text1"/>
                <w:kern w:val="2"/>
                <w:sz w:val="21"/>
                <w:szCs w:val="21"/>
                <w14:textFill>
                  <w14:solidFill>
                    <w14:schemeClr w14:val="tx1"/>
                  </w14:solidFill>
                </w14:textFill>
              </w:rPr>
              <w:t>做好重要节点和重要敏感时期反恐维稳工作。</w:t>
            </w:r>
            <w:r>
              <w:rPr>
                <w:rFonts w:hint="eastAsia" w:ascii="仿宋" w:hAnsi="仿宋" w:eastAsia="仿宋" w:cs="仿宋"/>
                <w:bCs/>
                <w:color w:val="000000" w:themeColor="text1"/>
                <w:sz w:val="21"/>
                <w:szCs w:val="21"/>
                <w14:textFill>
                  <w14:solidFill>
                    <w14:schemeClr w14:val="tx1"/>
                  </w14:solidFill>
                </w14:textFill>
              </w:rPr>
              <w:t>做好综合治理工作，落实意识形态工作责任制，强化思想文化阵地管理，完善网络舆情应对机制，确保校园政治稳定。</w:t>
            </w:r>
          </w:p>
        </w:tc>
        <w:tc>
          <w:tcPr>
            <w:tcW w:w="1111" w:type="dxa"/>
            <w:shd w:val="clear" w:color="auto" w:fill="auto"/>
            <w:vAlign w:val="center"/>
          </w:tcPr>
          <w:p>
            <w:pPr>
              <w:adjustRightInd w:val="0"/>
              <w:snapToGrid w:val="0"/>
              <w:spacing w:line="40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赵振然</w:t>
            </w:r>
          </w:p>
        </w:tc>
        <w:tc>
          <w:tcPr>
            <w:tcW w:w="1746"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宣传部</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学生处</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思政部</w:t>
            </w:r>
          </w:p>
        </w:tc>
        <w:tc>
          <w:tcPr>
            <w:tcW w:w="1433"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各总支、支部</w:t>
            </w:r>
          </w:p>
          <w:p>
            <w:pPr>
              <w:adjustRightInd w:val="0"/>
              <w:snapToGrid w:val="0"/>
              <w:spacing w:line="40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400" w:lineRule="exact"/>
              <w:ind w:firstLine="422" w:firstLineChars="200"/>
              <w:jc w:val="both"/>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4.</w:t>
            </w:r>
            <w:r>
              <w:rPr>
                <w:rFonts w:hint="eastAsia" w:ascii="仿宋" w:hAnsi="仿宋" w:eastAsia="仿宋" w:cs="仿宋"/>
                <w:b/>
                <w:color w:val="000000" w:themeColor="text1"/>
                <w:sz w:val="21"/>
                <w:szCs w:val="21"/>
                <w14:textFill>
                  <w14:solidFill>
                    <w14:schemeClr w14:val="tx1"/>
                  </w14:solidFill>
                </w14:textFill>
              </w:rPr>
              <w:t>创新基层党组织建设。</w:t>
            </w:r>
            <w:r>
              <w:rPr>
                <w:rFonts w:hint="eastAsia" w:ascii="仿宋" w:hAnsi="仿宋" w:eastAsia="仿宋" w:cs="仿宋"/>
                <w:bCs/>
                <w:color w:val="000000" w:themeColor="text1"/>
                <w:sz w:val="21"/>
                <w:szCs w:val="21"/>
                <w14:textFill>
                  <w14:solidFill>
                    <w14:schemeClr w14:val="tx1"/>
                  </w14:solidFill>
                </w14:textFill>
              </w:rPr>
              <w:t>贯彻落实省委高校工委《关于加强新形势下高校基层党支部建设的意见》，推动全面从严治党要求落地生根。抓牢抓实“三会一课”，提高党内政治生活质量。优化党支部设置模式，制定党支部考核标准。坚持按计划、标准择优发展党员。健全创先争优工作机制，培植和宣传先进典型。筹备召开第一届党代会。</w:t>
            </w:r>
          </w:p>
        </w:tc>
        <w:tc>
          <w:tcPr>
            <w:tcW w:w="1111"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赵振然</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唐永宾</w:t>
            </w:r>
          </w:p>
        </w:tc>
        <w:tc>
          <w:tcPr>
            <w:tcW w:w="1746"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组织统战部</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党政办公室</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纪委</w:t>
            </w:r>
          </w:p>
        </w:tc>
        <w:tc>
          <w:tcPr>
            <w:tcW w:w="1433"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各总支、支部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400" w:lineRule="exact"/>
              <w:ind w:firstLine="422" w:firstLineChars="200"/>
              <w:jc w:val="both"/>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5.抓好干部队伍建设。</w:t>
            </w:r>
            <w:r>
              <w:rPr>
                <w:rFonts w:hint="eastAsia" w:ascii="仿宋" w:hAnsi="仿宋" w:eastAsia="仿宋" w:cs="仿宋"/>
                <w:color w:val="000000" w:themeColor="text1"/>
                <w:sz w:val="21"/>
                <w:szCs w:val="21"/>
                <w14:textFill>
                  <w14:solidFill>
                    <w14:schemeClr w14:val="tx1"/>
                  </w14:solidFill>
                </w14:textFill>
              </w:rPr>
              <w:t>以“干部队伍建设年”为契机，</w:t>
            </w:r>
            <w:r>
              <w:rPr>
                <w:rFonts w:hint="eastAsia" w:ascii="仿宋" w:hAnsi="仿宋" w:eastAsia="仿宋" w:cs="仿宋"/>
                <w:bCs/>
                <w:color w:val="000000" w:themeColor="text1"/>
                <w:sz w:val="21"/>
                <w:szCs w:val="21"/>
                <w14:textFill>
                  <w14:solidFill>
                    <w14:schemeClr w14:val="tx1"/>
                  </w14:solidFill>
                </w14:textFill>
              </w:rPr>
              <w:t>坚持党管干部原则，按照《党政领导干部选拔任用工作条例》，做好中层和基层干部选任调整工作。加强干部队伍教育培训，健全干部考核评价体系，完善干部管理监督制度体系，打造忠诚干净担当的高素质干部队伍。</w:t>
            </w:r>
          </w:p>
        </w:tc>
        <w:tc>
          <w:tcPr>
            <w:tcW w:w="1111" w:type="dxa"/>
            <w:shd w:val="clear" w:color="auto" w:fill="auto"/>
            <w:vAlign w:val="center"/>
          </w:tcPr>
          <w:p>
            <w:pPr>
              <w:adjustRightInd w:val="0"/>
              <w:snapToGrid w:val="0"/>
              <w:spacing w:line="40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赵振然</w:t>
            </w:r>
          </w:p>
        </w:tc>
        <w:tc>
          <w:tcPr>
            <w:tcW w:w="1746"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组织统战部</w:t>
            </w:r>
          </w:p>
        </w:tc>
        <w:tc>
          <w:tcPr>
            <w:tcW w:w="1433"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各总支、支部</w:t>
            </w:r>
          </w:p>
          <w:p>
            <w:pPr>
              <w:adjustRightInd w:val="0"/>
              <w:snapToGrid w:val="0"/>
              <w:spacing w:line="40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400" w:lineRule="exact"/>
              <w:ind w:firstLine="422" w:firstLineChars="200"/>
              <w:jc w:val="both"/>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6.加强反腐倡廉建设。</w:t>
            </w:r>
            <w:r>
              <w:rPr>
                <w:rFonts w:hint="eastAsia" w:ascii="仿宋" w:hAnsi="仿宋" w:eastAsia="仿宋" w:cs="仿宋"/>
                <w:bCs/>
                <w:color w:val="000000" w:themeColor="text1"/>
                <w:sz w:val="21"/>
                <w:szCs w:val="21"/>
                <w14:textFill>
                  <w14:solidFill>
                    <w14:schemeClr w14:val="tx1"/>
                  </w14:solidFill>
                </w14:textFill>
              </w:rPr>
              <w:t>夯实全面从严治党主体责任和监督责任，健全党委听取纪委工作汇报制度。落实党风廉政建设责任制，强化“党政同责”和“一岗双责”。践行监督执纪“四种形态”，进一步深化“三转”，强化监督执纪问责。加强党风廉政教育，推进廉政文化进校园，营造风清气正的干事创业氛围。</w:t>
            </w:r>
          </w:p>
        </w:tc>
        <w:tc>
          <w:tcPr>
            <w:tcW w:w="1111"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唐永宾</w:t>
            </w:r>
          </w:p>
        </w:tc>
        <w:tc>
          <w:tcPr>
            <w:tcW w:w="1746"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纪委</w:t>
            </w:r>
          </w:p>
        </w:tc>
        <w:tc>
          <w:tcPr>
            <w:tcW w:w="1433"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各总支、支部</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spacing w:line="400" w:lineRule="exact"/>
              <w:ind w:firstLine="422" w:firstLineChars="200"/>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7.推进作风建设持续向好。</w:t>
            </w:r>
            <w:r>
              <w:rPr>
                <w:rFonts w:hint="eastAsia" w:ascii="仿宋" w:hAnsi="仿宋" w:eastAsia="仿宋" w:cs="仿宋"/>
                <w:bCs/>
                <w:color w:val="000000" w:themeColor="text1"/>
                <w:kern w:val="0"/>
                <w:szCs w:val="21"/>
                <w14:textFill>
                  <w14:solidFill>
                    <w14:schemeClr w14:val="tx1"/>
                  </w14:solidFill>
                </w14:textFill>
              </w:rPr>
              <w:t>开展干部作风大整顿，</w:t>
            </w:r>
            <w:r>
              <w:rPr>
                <w:rFonts w:hint="eastAsia" w:ascii="仿宋" w:hAnsi="仿宋" w:eastAsia="仿宋" w:cs="仿宋"/>
                <w:bCs/>
                <w:color w:val="000000" w:themeColor="text1"/>
                <w:szCs w:val="21"/>
                <w14:textFill>
                  <w14:solidFill>
                    <w14:schemeClr w14:val="tx1"/>
                  </w14:solidFill>
                </w14:textFill>
              </w:rPr>
              <w:t>推进作风建设持续向好</w:t>
            </w:r>
            <w:r>
              <w:rPr>
                <w:rFonts w:ascii="仿宋" w:hAnsi="仿宋" w:eastAsia="仿宋" w:cs="仿宋"/>
                <w:bCs/>
                <w:color w:val="000000" w:themeColor="text1"/>
                <w:kern w:val="0"/>
                <w:szCs w:val="21"/>
                <w14:textFill>
                  <w14:solidFill>
                    <w14:schemeClr w14:val="tx1"/>
                  </w14:solidFill>
                </w14:textFill>
              </w:rPr>
              <w:t>，形成敢担当、敢负责、敢干事的良好导向</w:t>
            </w:r>
            <w:r>
              <w:rPr>
                <w:rFonts w:hint="eastAsia" w:ascii="仿宋" w:hAnsi="仿宋" w:eastAsia="仿宋" w:cs="仿宋"/>
                <w:bCs/>
                <w:color w:val="000000" w:themeColor="text1"/>
                <w:kern w:val="0"/>
                <w:szCs w:val="21"/>
                <w14:textFill>
                  <w14:solidFill>
                    <w14:schemeClr w14:val="tx1"/>
                  </w14:solidFill>
                </w14:textFill>
              </w:rPr>
              <w:t>。</w:t>
            </w:r>
          </w:p>
        </w:tc>
        <w:tc>
          <w:tcPr>
            <w:tcW w:w="1111"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唐永宾</w:t>
            </w:r>
          </w:p>
        </w:tc>
        <w:tc>
          <w:tcPr>
            <w:tcW w:w="1746"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纪委</w:t>
            </w:r>
          </w:p>
        </w:tc>
        <w:tc>
          <w:tcPr>
            <w:tcW w:w="1433"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各总支、支部</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spacing w:line="400" w:lineRule="exact"/>
              <w:ind w:firstLine="422"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8.加强党对统一战线工作的领导。</w:t>
            </w:r>
            <w:r>
              <w:rPr>
                <w:rFonts w:hint="eastAsia" w:ascii="仿宋" w:hAnsi="仿宋" w:eastAsia="仿宋" w:cs="仿宋"/>
                <w:bCs/>
                <w:color w:val="000000" w:themeColor="text1"/>
                <w:szCs w:val="21"/>
                <w14:textFill>
                  <w14:solidFill>
                    <w14:schemeClr w14:val="tx1"/>
                  </w14:solidFill>
                </w14:textFill>
              </w:rPr>
              <w:t>完善统战工作制度和机构设置，加强统战工作队伍建设，进一步加强对民主党派和无党派人士的政治引导。</w:t>
            </w:r>
          </w:p>
        </w:tc>
        <w:tc>
          <w:tcPr>
            <w:tcW w:w="1111" w:type="dxa"/>
            <w:shd w:val="clear" w:color="auto" w:fill="auto"/>
            <w:vAlign w:val="center"/>
          </w:tcPr>
          <w:p>
            <w:pPr>
              <w:adjustRightInd w:val="0"/>
              <w:snapToGrid w:val="0"/>
              <w:spacing w:line="40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赵振然</w:t>
            </w:r>
          </w:p>
        </w:tc>
        <w:tc>
          <w:tcPr>
            <w:tcW w:w="1746"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组织统战部</w:t>
            </w:r>
          </w:p>
        </w:tc>
        <w:tc>
          <w:tcPr>
            <w:tcW w:w="1433"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各总支、支部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spacing w:line="400" w:lineRule="exact"/>
              <w:ind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9.健全工会、团委等群团组织运行机制。</w:t>
            </w:r>
            <w:r>
              <w:rPr>
                <w:rFonts w:hint="eastAsia" w:ascii="仿宋" w:hAnsi="仿宋" w:eastAsia="仿宋" w:cs="仿宋"/>
                <w:bCs/>
                <w:color w:val="000000" w:themeColor="text1"/>
                <w:szCs w:val="21"/>
                <w14:textFill>
                  <w14:solidFill>
                    <w14:schemeClr w14:val="tx1"/>
                  </w14:solidFill>
                </w14:textFill>
              </w:rPr>
              <w:t>发挥师生员工的民主管理和民主监督作用，做好工会换届工作。推进“教工之家”创新建设，开展丰富多彩的文体活动。做好离退休教职工管理服务工作。做好工会换届工作。贯彻落实上级关于高校共青团和学联、学生会组织改革的各项部署，推进学校共青团和学生会组织改革，做好学生组织的规范管理。深入开展学生理想信念教育，拓展学生社会实践平台，完善学生志愿服务体系。</w:t>
            </w:r>
          </w:p>
        </w:tc>
        <w:tc>
          <w:tcPr>
            <w:tcW w:w="1111"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李森</w:t>
            </w:r>
          </w:p>
        </w:tc>
        <w:tc>
          <w:tcPr>
            <w:tcW w:w="1746"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工会</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团委</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学生处</w:t>
            </w:r>
          </w:p>
        </w:tc>
        <w:tc>
          <w:tcPr>
            <w:tcW w:w="1433"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 xml:space="preserve">各分会 </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各院部处室</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各团总支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adjustRightInd w:val="0"/>
              <w:snapToGrid w:val="0"/>
              <w:spacing w:line="400" w:lineRule="exact"/>
              <w:ind w:firstLine="422"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10.加快治理体系和治理能力建设。</w:t>
            </w:r>
            <w:r>
              <w:rPr>
                <w:rFonts w:hint="eastAsia" w:ascii="仿宋" w:hAnsi="仿宋" w:eastAsia="仿宋" w:cs="仿宋"/>
                <w:bCs/>
                <w:color w:val="000000" w:themeColor="text1"/>
                <w:szCs w:val="21"/>
                <w14:textFill>
                  <w14:solidFill>
                    <w14:schemeClr w14:val="tx1"/>
                  </w14:solidFill>
                </w14:textFill>
              </w:rPr>
              <w:t>全面贯彻落实党委领导下的校长负责制，严格落实“三重一大”决策制度和学校领导班子成员联系基层和调查研究制度。完善校院两级管理体制，健全学校决策、执行及监督机制。严格会议纪律，改进会风、文风；严控“三公经费”支出，做好公车管理、公务接待等工作。深入推进信息公开。</w:t>
            </w:r>
          </w:p>
        </w:tc>
        <w:tc>
          <w:tcPr>
            <w:tcW w:w="1111"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赵振然</w:t>
            </w:r>
          </w:p>
          <w:p>
            <w:pPr>
              <w:adjustRightInd w:val="0"/>
              <w:snapToGrid w:val="0"/>
              <w:spacing w:line="40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唐永宾</w:t>
            </w:r>
          </w:p>
        </w:tc>
        <w:tc>
          <w:tcPr>
            <w:tcW w:w="1746"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组织统战部</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纪委</w:t>
            </w:r>
          </w:p>
          <w:p>
            <w:pPr>
              <w:adjustRightInd w:val="0"/>
              <w:snapToGrid w:val="0"/>
              <w:spacing w:line="40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党政办公室</w:t>
            </w:r>
          </w:p>
        </w:tc>
        <w:tc>
          <w:tcPr>
            <w:tcW w:w="1433"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各总支、支部</w:t>
            </w:r>
          </w:p>
          <w:p>
            <w:pPr>
              <w:adjustRightInd w:val="0"/>
              <w:snapToGrid w:val="0"/>
              <w:spacing w:line="40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96" w:type="dxa"/>
            <w:vMerge w:val="restart"/>
            <w:shd w:val="clear" w:color="auto" w:fill="auto"/>
            <w:vAlign w:val="center"/>
          </w:tcPr>
          <w:p>
            <w:pPr>
              <w:pStyle w:val="5"/>
              <w:widowControl w:val="0"/>
              <w:spacing w:before="0" w:beforeAutospacing="0" w:after="0" w:afterAutospacing="0" w:line="400" w:lineRule="exact"/>
              <w:outlineLvl w:val="0"/>
              <w:rPr>
                <w:color w:val="000000"/>
              </w:rPr>
            </w:pPr>
            <w:r>
              <w:rPr>
                <w:rFonts w:hint="eastAsia" w:ascii="黑体" w:hAnsi="黑体" w:eastAsia="黑体" w:cs="黑体"/>
                <w:bCs/>
                <w:color w:val="000000" w:themeColor="text1"/>
                <w:sz w:val="21"/>
                <w:szCs w:val="21"/>
                <w14:textFill>
                  <w14:solidFill>
                    <w14:schemeClr w14:val="tx1"/>
                  </w14:solidFill>
                </w14:textFill>
              </w:rPr>
              <w:t>二、强力推进与恒大合作，积极实施迁建升本工程</w:t>
            </w:r>
          </w:p>
        </w:tc>
        <w:tc>
          <w:tcPr>
            <w:tcW w:w="8826" w:type="dxa"/>
            <w:shd w:val="clear" w:color="auto" w:fill="auto"/>
            <w:vAlign w:val="center"/>
          </w:tcPr>
          <w:p>
            <w:pPr>
              <w:spacing w:line="460" w:lineRule="exact"/>
              <w:ind w:firstLine="422"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11.做好新校区开工准备。</w:t>
            </w:r>
            <w:r>
              <w:rPr>
                <w:rFonts w:hint="eastAsia" w:ascii="仿宋" w:hAnsi="仿宋" w:eastAsia="仿宋" w:cs="仿宋"/>
                <w:bCs/>
                <w:color w:val="000000" w:themeColor="text1"/>
                <w:szCs w:val="21"/>
                <w14:textFill>
                  <w14:solidFill>
                    <w14:schemeClr w14:val="tx1"/>
                  </w14:solidFill>
                </w14:textFill>
              </w:rPr>
              <w:t>全力推进新校园建设，协助市政府和恒大集团完成新校区选址工作，确保年内开工，</w:t>
            </w:r>
            <w:r>
              <w:rPr>
                <w:rFonts w:hint="eastAsia" w:ascii="仿宋" w:hAnsi="仿宋" w:eastAsia="仿宋" w:cs="仿宋"/>
                <w:color w:val="000000" w:themeColor="text1"/>
                <w:szCs w:val="21"/>
                <w14:textFill>
                  <w14:solidFill>
                    <w14:schemeClr w14:val="tx1"/>
                  </w14:solidFill>
                </w14:textFill>
              </w:rPr>
              <w:t>打造占地3000亩、建筑面积60万平方米，河南领先、全国一流，50年不落伍、100年成经典的现代化大学校园。</w:t>
            </w:r>
          </w:p>
        </w:tc>
        <w:tc>
          <w:tcPr>
            <w:tcW w:w="1111"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李庶泉</w:t>
            </w:r>
          </w:p>
        </w:tc>
        <w:tc>
          <w:tcPr>
            <w:tcW w:w="1746"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规划基建处</w:t>
            </w:r>
          </w:p>
        </w:tc>
        <w:tc>
          <w:tcPr>
            <w:tcW w:w="1433"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spacing w:line="460" w:lineRule="exact"/>
              <w:ind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12.推进新校园规划设计建设。</w:t>
            </w:r>
            <w:r>
              <w:rPr>
                <w:rFonts w:hint="eastAsia" w:ascii="仿宋" w:hAnsi="仿宋" w:eastAsia="仿宋" w:cs="仿宋"/>
                <w:color w:val="000000" w:themeColor="text1"/>
                <w:szCs w:val="21"/>
                <w14:textFill>
                  <w14:solidFill>
                    <w14:schemeClr w14:val="tx1"/>
                  </w14:solidFill>
                </w14:textFill>
              </w:rPr>
              <w:t>以“书香校园、文化校园、工匠校园、绿色校园、智慧校园、园林校园、水润校园、宜业校园”为</w:t>
            </w:r>
            <w:r>
              <w:rPr>
                <w:rFonts w:hint="eastAsia" w:ascii="仿宋" w:hAnsi="仿宋" w:eastAsia="仿宋" w:cs="仿宋"/>
                <w:bCs/>
                <w:color w:val="000000" w:themeColor="text1"/>
                <w:szCs w:val="21"/>
                <w14:textFill>
                  <w14:solidFill>
                    <w14:schemeClr w14:val="tx1"/>
                  </w14:solidFill>
                </w14:textFill>
              </w:rPr>
              <w:t>建设</w:t>
            </w:r>
            <w:r>
              <w:rPr>
                <w:rFonts w:hint="eastAsia" w:ascii="仿宋" w:hAnsi="仿宋" w:eastAsia="仿宋" w:cs="仿宋"/>
                <w:color w:val="000000" w:themeColor="text1"/>
                <w:szCs w:val="21"/>
                <w14:textFill>
                  <w14:solidFill>
                    <w14:schemeClr w14:val="tx1"/>
                  </w14:solidFill>
                </w14:textFill>
              </w:rPr>
              <w:t>理念</w:t>
            </w:r>
            <w:r>
              <w:rPr>
                <w:rFonts w:hint="eastAsia" w:ascii="仿宋" w:hAnsi="仿宋" w:eastAsia="仿宋" w:cs="仿宋"/>
                <w:bCs/>
                <w:color w:val="000000" w:themeColor="text1"/>
                <w:kern w:val="0"/>
                <w:szCs w:val="21"/>
                <w14:textFill>
                  <w14:solidFill>
                    <w14:schemeClr w14:val="tx1"/>
                  </w14:solidFill>
                </w14:textFill>
              </w:rPr>
              <w:t>，</w:t>
            </w:r>
            <w:r>
              <w:rPr>
                <w:rFonts w:hint="eastAsia" w:ascii="仿宋" w:hAnsi="仿宋" w:eastAsia="仿宋" w:cs="仿宋"/>
                <w:bCs/>
                <w:color w:val="000000" w:themeColor="text1"/>
                <w:szCs w:val="21"/>
                <w14:textFill>
                  <w14:solidFill>
                    <w14:schemeClr w14:val="tx1"/>
                  </w14:solidFill>
                </w14:textFill>
              </w:rPr>
              <w:t>按照</w:t>
            </w:r>
            <w:r>
              <w:rPr>
                <w:rFonts w:ascii="仿宋" w:hAnsi="仿宋" w:eastAsia="仿宋" w:cs="仿宋"/>
                <w:bCs/>
                <w:color w:val="000000" w:themeColor="text1"/>
                <w:kern w:val="0"/>
                <w:szCs w:val="21"/>
                <w14:textFill>
                  <w14:solidFill>
                    <w14:schemeClr w14:val="tx1"/>
                  </w14:solidFill>
                </w14:textFill>
              </w:rPr>
              <w:t>“高起点、高标准、高质量、高水平”</w:t>
            </w:r>
            <w:r>
              <w:rPr>
                <w:rFonts w:hint="eastAsia" w:ascii="仿宋" w:hAnsi="仿宋" w:eastAsia="仿宋" w:cs="仿宋"/>
                <w:bCs/>
                <w:color w:val="000000" w:themeColor="text1"/>
                <w:kern w:val="0"/>
                <w:szCs w:val="21"/>
                <w14:textFill>
                  <w14:solidFill>
                    <w14:schemeClr w14:val="tx1"/>
                  </w14:solidFill>
                </w14:textFill>
              </w:rPr>
              <w:t>的</w:t>
            </w:r>
            <w:r>
              <w:rPr>
                <w:rFonts w:ascii="仿宋" w:hAnsi="仿宋" w:eastAsia="仿宋" w:cs="仿宋"/>
                <w:bCs/>
                <w:color w:val="000000" w:themeColor="text1"/>
                <w:kern w:val="0"/>
                <w:szCs w:val="21"/>
                <w14:textFill>
                  <w14:solidFill>
                    <w14:schemeClr w14:val="tx1"/>
                  </w14:solidFill>
                </w14:textFill>
              </w:rPr>
              <w:t>基本思路</w:t>
            </w:r>
            <w:r>
              <w:rPr>
                <w:rFonts w:hint="eastAsia" w:ascii="仿宋" w:hAnsi="仿宋" w:eastAsia="仿宋" w:cs="仿宋"/>
                <w:bCs/>
                <w:color w:val="000000" w:themeColor="text1"/>
                <w:kern w:val="0"/>
                <w:szCs w:val="21"/>
                <w14:textFill>
                  <w14:solidFill>
                    <w14:schemeClr w14:val="tx1"/>
                  </w14:solidFill>
                </w14:textFill>
              </w:rPr>
              <w:t>，</w:t>
            </w:r>
            <w:r>
              <w:rPr>
                <w:rFonts w:ascii="仿宋" w:hAnsi="仿宋" w:eastAsia="仿宋" w:cs="仿宋"/>
                <w:bCs/>
                <w:color w:val="000000" w:themeColor="text1"/>
                <w:kern w:val="0"/>
                <w:szCs w:val="21"/>
                <w14:textFill>
                  <w14:solidFill>
                    <w14:schemeClr w14:val="tx1"/>
                  </w14:solidFill>
                </w14:textFill>
              </w:rPr>
              <w:t>建</w:t>
            </w:r>
            <w:r>
              <w:rPr>
                <w:rFonts w:hint="eastAsia" w:ascii="仿宋" w:hAnsi="仿宋" w:eastAsia="仿宋" w:cs="仿宋"/>
                <w:bCs/>
                <w:color w:val="000000" w:themeColor="text1"/>
                <w:kern w:val="0"/>
                <w:szCs w:val="21"/>
                <w14:textFill>
                  <w14:solidFill>
                    <w14:schemeClr w14:val="tx1"/>
                  </w14:solidFill>
                </w14:textFill>
              </w:rPr>
              <w:t>设</w:t>
            </w:r>
            <w:r>
              <w:rPr>
                <w:rFonts w:ascii="仿宋" w:hAnsi="仿宋" w:eastAsia="仿宋" w:cs="仿宋"/>
                <w:bCs/>
                <w:color w:val="000000" w:themeColor="text1"/>
                <w:kern w:val="0"/>
                <w:szCs w:val="21"/>
                <w14:textFill>
                  <w14:solidFill>
                    <w14:schemeClr w14:val="tx1"/>
                  </w14:solidFill>
                </w14:textFill>
              </w:rPr>
              <w:t>布局科学</w:t>
            </w:r>
            <w:r>
              <w:rPr>
                <w:rFonts w:hint="eastAsia" w:ascii="仿宋" w:hAnsi="仿宋" w:eastAsia="仿宋" w:cs="仿宋"/>
                <w:bCs/>
                <w:color w:val="000000" w:themeColor="text1"/>
                <w:kern w:val="0"/>
                <w:szCs w:val="21"/>
                <w14:textFill>
                  <w14:solidFill>
                    <w14:schemeClr w14:val="tx1"/>
                  </w14:solidFill>
                </w14:textFill>
              </w:rPr>
              <w:t>、区域</w:t>
            </w:r>
            <w:r>
              <w:rPr>
                <w:rFonts w:ascii="仿宋" w:hAnsi="仿宋" w:eastAsia="仿宋" w:cs="仿宋"/>
                <w:bCs/>
                <w:color w:val="000000" w:themeColor="text1"/>
                <w:kern w:val="0"/>
                <w:szCs w:val="21"/>
                <w14:textFill>
                  <w14:solidFill>
                    <w14:schemeClr w14:val="tx1"/>
                  </w14:solidFill>
                </w14:textFill>
              </w:rPr>
              <w:t>合理、功能齐全、环境优美的</w:t>
            </w:r>
            <w:r>
              <w:rPr>
                <w:rFonts w:hint="eastAsia" w:ascii="仿宋" w:hAnsi="仿宋" w:eastAsia="仿宋" w:cs="仿宋"/>
                <w:bCs/>
                <w:color w:val="000000" w:themeColor="text1"/>
                <w:kern w:val="0"/>
                <w:szCs w:val="21"/>
                <w14:textFill>
                  <w14:solidFill>
                    <w14:schemeClr w14:val="tx1"/>
                  </w14:solidFill>
                </w14:textFill>
              </w:rPr>
              <w:t>大学</w:t>
            </w:r>
            <w:r>
              <w:rPr>
                <w:rFonts w:ascii="仿宋" w:hAnsi="仿宋" w:eastAsia="仿宋" w:cs="仿宋"/>
                <w:bCs/>
                <w:color w:val="000000" w:themeColor="text1"/>
                <w:kern w:val="0"/>
                <w:szCs w:val="21"/>
                <w14:textFill>
                  <w14:solidFill>
                    <w14:schemeClr w14:val="tx1"/>
                  </w14:solidFill>
                </w14:textFill>
              </w:rPr>
              <w:t>校园</w:t>
            </w:r>
            <w:r>
              <w:rPr>
                <w:rFonts w:hint="eastAsia" w:ascii="仿宋" w:hAnsi="仿宋" w:eastAsia="仿宋" w:cs="仿宋"/>
                <w:bCs/>
                <w:color w:val="000000" w:themeColor="text1"/>
                <w:kern w:val="0"/>
                <w:szCs w:val="21"/>
                <w14:textFill>
                  <w14:solidFill>
                    <w14:schemeClr w14:val="tx1"/>
                  </w14:solidFill>
                </w14:textFill>
              </w:rPr>
              <w:t>。</w:t>
            </w:r>
          </w:p>
        </w:tc>
        <w:tc>
          <w:tcPr>
            <w:tcW w:w="1111"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李庶泉</w:t>
            </w:r>
          </w:p>
        </w:tc>
        <w:tc>
          <w:tcPr>
            <w:tcW w:w="1746"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规划基建处</w:t>
            </w:r>
          </w:p>
        </w:tc>
        <w:tc>
          <w:tcPr>
            <w:tcW w:w="1433"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spacing w:line="460" w:lineRule="exact"/>
              <w:ind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13.做好迁建升本各项准备。</w:t>
            </w:r>
            <w:r>
              <w:rPr>
                <w:rFonts w:hint="eastAsia" w:ascii="仿宋" w:hAnsi="仿宋" w:eastAsia="仿宋" w:cs="仿宋"/>
                <w:bCs/>
                <w:color w:val="000000" w:themeColor="text1"/>
                <w:kern w:val="0"/>
                <w:szCs w:val="21"/>
                <w14:textFill>
                  <w14:solidFill>
                    <w14:schemeClr w14:val="tx1"/>
                  </w14:solidFill>
                </w14:textFill>
              </w:rPr>
              <w:t>对照</w:t>
            </w:r>
            <w:r>
              <w:rPr>
                <w:rFonts w:ascii="仿宋" w:hAnsi="仿宋" w:eastAsia="仿宋" w:cs="仿宋"/>
                <w:bCs/>
                <w:color w:val="000000" w:themeColor="text1"/>
                <w:kern w:val="0"/>
                <w:szCs w:val="21"/>
                <w14:textFill>
                  <w14:solidFill>
                    <w14:schemeClr w14:val="tx1"/>
                  </w14:solidFill>
                </w14:textFill>
              </w:rPr>
              <w:t>本科高校设置</w:t>
            </w:r>
            <w:r>
              <w:rPr>
                <w:rFonts w:hint="eastAsia" w:ascii="仿宋" w:hAnsi="仿宋" w:eastAsia="仿宋" w:cs="仿宋"/>
                <w:bCs/>
                <w:color w:val="000000" w:themeColor="text1"/>
                <w:kern w:val="0"/>
                <w:szCs w:val="21"/>
                <w14:textFill>
                  <w14:solidFill>
                    <w14:schemeClr w14:val="tx1"/>
                  </w14:solidFill>
                </w14:textFill>
              </w:rPr>
              <w:t>标准</w:t>
            </w:r>
            <w:r>
              <w:rPr>
                <w:rFonts w:ascii="仿宋" w:hAnsi="仿宋" w:eastAsia="仿宋" w:cs="仿宋"/>
                <w:bCs/>
                <w:color w:val="000000" w:themeColor="text1"/>
                <w:kern w:val="0"/>
                <w:szCs w:val="21"/>
                <w14:textFill>
                  <w14:solidFill>
                    <w14:schemeClr w14:val="tx1"/>
                  </w14:solidFill>
                </w14:textFill>
              </w:rPr>
              <w:t>，</w:t>
            </w:r>
            <w:r>
              <w:rPr>
                <w:rFonts w:hint="eastAsia" w:ascii="仿宋" w:hAnsi="仿宋" w:eastAsia="仿宋" w:cs="仿宋"/>
                <w:bCs/>
                <w:color w:val="000000" w:themeColor="text1"/>
                <w:kern w:val="0"/>
                <w:szCs w:val="21"/>
                <w14:textFill>
                  <w14:solidFill>
                    <w14:schemeClr w14:val="tx1"/>
                  </w14:solidFill>
                </w14:textFill>
              </w:rPr>
              <w:t>本着高标准、严要求、补短板的原则，</w:t>
            </w:r>
            <w:r>
              <w:rPr>
                <w:rFonts w:ascii="仿宋" w:hAnsi="仿宋" w:eastAsia="仿宋" w:cs="仿宋"/>
                <w:bCs/>
                <w:color w:val="000000" w:themeColor="text1"/>
                <w:kern w:val="0"/>
                <w:szCs w:val="21"/>
                <w14:textFill>
                  <w14:solidFill>
                    <w14:schemeClr w14:val="tx1"/>
                  </w14:solidFill>
                </w14:textFill>
              </w:rPr>
              <w:t>明确目标任务</w:t>
            </w:r>
            <w:r>
              <w:rPr>
                <w:rFonts w:hint="eastAsia" w:ascii="仿宋" w:hAnsi="仿宋" w:eastAsia="仿宋" w:cs="仿宋"/>
                <w:bCs/>
                <w:color w:val="000000" w:themeColor="text1"/>
                <w:kern w:val="0"/>
                <w:szCs w:val="21"/>
                <w14:textFill>
                  <w14:solidFill>
                    <w14:schemeClr w14:val="tx1"/>
                  </w14:solidFill>
                </w14:textFill>
              </w:rPr>
              <w:t>，强化组织领导，夯实工作职责</w:t>
            </w:r>
            <w:r>
              <w:rPr>
                <w:rFonts w:hint="eastAsia" w:ascii="仿宋" w:hAnsi="仿宋" w:eastAsia="仿宋" w:cs="仿宋"/>
                <w:bCs/>
                <w:color w:val="000000" w:themeColor="text1"/>
                <w:szCs w:val="21"/>
                <w14:textFill>
                  <w14:solidFill>
                    <w14:schemeClr w14:val="tx1"/>
                  </w14:solidFill>
                </w14:textFill>
              </w:rPr>
              <w:t>，扎实做好迁建升本准备工作。</w:t>
            </w:r>
          </w:p>
        </w:tc>
        <w:tc>
          <w:tcPr>
            <w:tcW w:w="1111" w:type="dxa"/>
            <w:shd w:val="clear" w:color="auto" w:fill="auto"/>
            <w:vAlign w:val="center"/>
          </w:tcPr>
          <w:p>
            <w:pPr>
              <w:adjustRightInd w:val="0"/>
              <w:snapToGrid w:val="0"/>
              <w:spacing w:line="460" w:lineRule="exact"/>
              <w:jc w:val="center"/>
              <w:rPr>
                <w:rFonts w:ascii="宋体" w:hAnsi="宋体" w:cs="仿宋_GB2312"/>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李清臣</w:t>
            </w:r>
          </w:p>
        </w:tc>
        <w:tc>
          <w:tcPr>
            <w:tcW w:w="1746" w:type="dxa"/>
            <w:shd w:val="clear" w:color="auto" w:fill="auto"/>
            <w:vAlign w:val="center"/>
          </w:tcPr>
          <w:p>
            <w:pPr>
              <w:spacing w:line="460" w:lineRule="exact"/>
              <w:rPr>
                <w:rFonts w:ascii="宋体" w:hAnsi="宋体" w:cs="仿宋_GB2312"/>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迁建升本指挥部</w:t>
            </w:r>
          </w:p>
        </w:tc>
        <w:tc>
          <w:tcPr>
            <w:tcW w:w="1433" w:type="dxa"/>
            <w:shd w:val="clear" w:color="auto" w:fill="auto"/>
            <w:vAlign w:val="center"/>
          </w:tcPr>
          <w:p>
            <w:pPr>
              <w:adjustRightInd w:val="0"/>
              <w:snapToGrid w:val="0"/>
              <w:spacing w:line="460" w:lineRule="exact"/>
              <w:jc w:val="center"/>
              <w:rPr>
                <w:rFonts w:ascii="宋体" w:hAnsi="宋体" w:cs="仿宋_GB2312"/>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496" w:type="dxa"/>
            <w:vMerge w:val="restart"/>
            <w:shd w:val="clear" w:color="auto" w:fill="auto"/>
            <w:vAlign w:val="center"/>
          </w:tcPr>
          <w:p>
            <w:pPr>
              <w:pStyle w:val="5"/>
              <w:widowControl w:val="0"/>
              <w:spacing w:before="0" w:beforeAutospacing="0" w:after="0" w:afterAutospacing="0" w:line="400" w:lineRule="exact"/>
              <w:rPr>
                <w:bCs/>
                <w:color w:val="000000"/>
              </w:rPr>
            </w:pPr>
            <w:r>
              <w:rPr>
                <w:rFonts w:hint="eastAsia" w:ascii="黑体" w:hAnsi="黑体" w:eastAsia="黑体" w:cs="黑体"/>
                <w:bCs/>
                <w:color w:val="000000" w:themeColor="text1"/>
                <w:sz w:val="21"/>
                <w:szCs w:val="21"/>
                <w14:textFill>
                  <w14:solidFill>
                    <w14:schemeClr w14:val="tx1"/>
                  </w14:solidFill>
                </w14:textFill>
              </w:rPr>
              <w:t>三、全力推进优质校建设，全面提升人才培养质量</w:t>
            </w:r>
          </w:p>
        </w:tc>
        <w:tc>
          <w:tcPr>
            <w:tcW w:w="8826" w:type="dxa"/>
            <w:shd w:val="clear" w:color="auto" w:fill="auto"/>
            <w:vAlign w:val="center"/>
          </w:tcPr>
          <w:p>
            <w:pPr>
              <w:pStyle w:val="5"/>
              <w:widowControl w:val="0"/>
              <w:spacing w:before="0" w:beforeAutospacing="0" w:after="0" w:afterAutospacing="0" w:line="460" w:lineRule="exact"/>
              <w:ind w:firstLine="422" w:firstLineChars="200"/>
              <w:jc w:val="both"/>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14.推进省优质校建设。</w:t>
            </w:r>
            <w:r>
              <w:rPr>
                <w:rFonts w:hint="eastAsia" w:ascii="仿宋" w:hAnsi="仿宋" w:eastAsia="仿宋" w:cs="仿宋"/>
                <w:bCs/>
                <w:color w:val="000000" w:themeColor="text1"/>
                <w:sz w:val="21"/>
                <w:szCs w:val="21"/>
                <w14:textFill>
                  <w14:solidFill>
                    <w14:schemeClr w14:val="tx1"/>
                  </w14:solidFill>
                </w14:textFill>
              </w:rPr>
              <w:t>明确优质校建设工作职责，细化建设内容、建设标准和责任要求,确保优质校建设任务目标圆满完成。</w:t>
            </w:r>
          </w:p>
        </w:tc>
        <w:tc>
          <w:tcPr>
            <w:tcW w:w="1111"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许永安</w:t>
            </w:r>
          </w:p>
        </w:tc>
        <w:tc>
          <w:tcPr>
            <w:tcW w:w="1746"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教务处</w:t>
            </w:r>
          </w:p>
        </w:tc>
        <w:tc>
          <w:tcPr>
            <w:tcW w:w="1433"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460" w:lineRule="exact"/>
              <w:ind w:firstLine="422" w:firstLineChars="200"/>
              <w:jc w:val="both"/>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15.全面推进教学诊断与改进。</w:t>
            </w:r>
            <w:r>
              <w:rPr>
                <w:rFonts w:hint="eastAsia" w:ascii="仿宋" w:hAnsi="仿宋" w:eastAsia="仿宋" w:cs="仿宋"/>
                <w:bCs/>
                <w:color w:val="000000" w:themeColor="text1"/>
                <w:sz w:val="21"/>
                <w:szCs w:val="21"/>
                <w14:textFill>
                  <w14:solidFill>
                    <w14:schemeClr w14:val="tx1"/>
                  </w14:solidFill>
                </w14:textFill>
              </w:rPr>
              <w:t>完善“五纵五横一平台”内部质量保证体系，</w:t>
            </w:r>
            <w:r>
              <w:rPr>
                <w:rFonts w:ascii="仿宋" w:hAnsi="仿宋" w:eastAsia="仿宋" w:cs="仿宋"/>
                <w:bCs/>
                <w:color w:val="000000" w:themeColor="text1"/>
                <w:sz w:val="21"/>
                <w:szCs w:val="21"/>
                <w14:textFill>
                  <w14:solidFill>
                    <w14:schemeClr w14:val="tx1"/>
                  </w14:solidFill>
                </w14:textFill>
              </w:rPr>
              <w:t>打造“金课”，淘汰“水课”，提高课堂教学质量。</w:t>
            </w:r>
            <w:r>
              <w:rPr>
                <w:rFonts w:hint="eastAsia" w:ascii="仿宋" w:hAnsi="仿宋" w:eastAsia="仿宋" w:cs="仿宋"/>
                <w:bCs/>
                <w:color w:val="000000" w:themeColor="text1"/>
                <w:sz w:val="21"/>
                <w:szCs w:val="21"/>
                <w14:textFill>
                  <w14:solidFill>
                    <w14:schemeClr w14:val="tx1"/>
                  </w14:solidFill>
                </w14:textFill>
              </w:rPr>
              <w:t>探索新型课堂建设案例，实现课堂教学个性学习精准推送、教学质量在线跟踪，促进教学质量的持续改进与提高。适时召开教学工作会议，深化教育教学改革，进一步提高整体办学水平。</w:t>
            </w:r>
          </w:p>
        </w:tc>
        <w:tc>
          <w:tcPr>
            <w:tcW w:w="1111"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许永安</w:t>
            </w:r>
          </w:p>
        </w:tc>
        <w:tc>
          <w:tcPr>
            <w:tcW w:w="1746"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教务处</w:t>
            </w:r>
          </w:p>
        </w:tc>
        <w:tc>
          <w:tcPr>
            <w:tcW w:w="1433"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各教学院部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460" w:lineRule="exact"/>
              <w:ind w:firstLine="422" w:firstLineChars="200"/>
              <w:jc w:val="both"/>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16.</w:t>
            </w:r>
            <w:r>
              <w:rPr>
                <w:rFonts w:hint="eastAsia" w:ascii="仿宋" w:hAnsi="仿宋" w:eastAsia="仿宋" w:cs="仿宋"/>
                <w:b/>
                <w:color w:val="000000" w:themeColor="text1"/>
                <w:sz w:val="21"/>
                <w:szCs w:val="21"/>
                <w14:textFill>
                  <w14:solidFill>
                    <w14:schemeClr w14:val="tx1"/>
                  </w14:solidFill>
                </w14:textFill>
              </w:rPr>
              <w:t>开展课程体系改革</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Cs/>
                <w:color w:val="000000" w:themeColor="text1"/>
                <w:sz w:val="21"/>
                <w:szCs w:val="21"/>
                <w14:textFill>
                  <w14:solidFill>
                    <w14:schemeClr w14:val="tx1"/>
                  </w14:solidFill>
                </w14:textFill>
              </w:rPr>
              <w:t>鼓励支持紧贴专业发展和技术更新进行课程改革，构建结构合理、课程衔接顺畅、突出能力培养，能够支撑人才培养目标的课程体系。修订完善60个专业人才培养方案，满足技术技能人才培养需求，体现校企共育特点。</w:t>
            </w:r>
          </w:p>
        </w:tc>
        <w:tc>
          <w:tcPr>
            <w:tcW w:w="1111"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许永安</w:t>
            </w:r>
          </w:p>
        </w:tc>
        <w:tc>
          <w:tcPr>
            <w:tcW w:w="1746"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教务处</w:t>
            </w:r>
          </w:p>
        </w:tc>
        <w:tc>
          <w:tcPr>
            <w:tcW w:w="1433"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各教学院部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460" w:lineRule="exact"/>
              <w:ind w:firstLine="422" w:firstLineChars="200"/>
              <w:jc w:val="both"/>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17.强化特色专业群建设。</w:t>
            </w:r>
            <w:r>
              <w:rPr>
                <w:rFonts w:hint="eastAsia" w:ascii="仿宋" w:hAnsi="仿宋" w:eastAsia="仿宋" w:cs="仿宋"/>
                <w:bCs/>
                <w:color w:val="000000" w:themeColor="text1"/>
                <w:sz w:val="21"/>
                <w:szCs w:val="21"/>
                <w14:textFill>
                  <w14:solidFill>
                    <w14:schemeClr w14:val="tx1"/>
                  </w14:solidFill>
                </w14:textFill>
              </w:rPr>
              <w:t>按照河南省优质校建设的要求，强力推进专业群建设，建基础共享、“岗位基本技能+职业拓展技能+创新意识培养”能力递进的专业群课程体系。出台《专业动态调整办法》，建立专业设置与招生规模联动的预警机制，优化专业布局。开展优秀教研室评选活动，推进专业型、研究型教研室建设，申报1个省级优秀教研室，8个省级合格教研室。挖潜教师资源，梳理学校专业教师队伍情况，组建新的教研室。</w:t>
            </w:r>
          </w:p>
        </w:tc>
        <w:tc>
          <w:tcPr>
            <w:tcW w:w="1111"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许永安</w:t>
            </w:r>
          </w:p>
        </w:tc>
        <w:tc>
          <w:tcPr>
            <w:tcW w:w="1746"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教务处</w:t>
            </w:r>
          </w:p>
        </w:tc>
        <w:tc>
          <w:tcPr>
            <w:tcW w:w="1433"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各教学院部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460" w:lineRule="exact"/>
              <w:ind w:firstLine="422" w:firstLineChars="200"/>
              <w:jc w:val="both"/>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18.全面提升技能大赛水平。</w:t>
            </w:r>
            <w:r>
              <w:rPr>
                <w:rFonts w:ascii="仿宋" w:hAnsi="仿宋" w:eastAsia="仿宋" w:cs="仿宋"/>
                <w:bCs/>
                <w:color w:val="000000" w:themeColor="text1"/>
                <w:sz w:val="21"/>
                <w:szCs w:val="21"/>
                <w14:textFill>
                  <w14:solidFill>
                    <w14:schemeClr w14:val="tx1"/>
                  </w14:solidFill>
                </w14:textFill>
              </w:rPr>
              <w:t>积极营造技能文化氛围，开展竞技文化活动，锤炼教师专业技能，加强学生技能辅导，</w:t>
            </w:r>
            <w:r>
              <w:rPr>
                <w:rFonts w:hint="eastAsia" w:ascii="仿宋" w:hAnsi="仿宋" w:eastAsia="仿宋" w:cs="仿宋"/>
                <w:bCs/>
                <w:color w:val="000000" w:themeColor="text1"/>
                <w:sz w:val="21"/>
                <w:szCs w:val="21"/>
                <w14:textFill>
                  <w14:solidFill>
                    <w14:schemeClr w14:val="tx1"/>
                  </w14:solidFill>
                </w14:textFill>
              </w:rPr>
              <w:t>使参加校级及以上技能大赛学生比例达30%以上；</w:t>
            </w:r>
            <w:r>
              <w:rPr>
                <w:rFonts w:ascii="仿宋" w:hAnsi="仿宋" w:eastAsia="仿宋" w:cs="仿宋"/>
                <w:bCs/>
                <w:color w:val="000000" w:themeColor="text1"/>
                <w:sz w:val="21"/>
                <w:szCs w:val="21"/>
                <w14:textFill>
                  <w14:solidFill>
                    <w14:schemeClr w14:val="tx1"/>
                  </w14:solidFill>
                </w14:textFill>
              </w:rPr>
              <w:t>积极备战</w:t>
            </w:r>
            <w:r>
              <w:rPr>
                <w:rFonts w:hint="eastAsia" w:ascii="仿宋" w:hAnsi="仿宋" w:eastAsia="仿宋" w:cs="仿宋"/>
                <w:bCs/>
                <w:color w:val="000000" w:themeColor="text1"/>
                <w:sz w:val="21"/>
                <w:szCs w:val="21"/>
                <w14:textFill>
                  <w14:solidFill>
                    <w14:schemeClr w14:val="tx1"/>
                  </w14:solidFill>
                </w14:textFill>
              </w:rPr>
              <w:t>河南省及</w:t>
            </w:r>
            <w:r>
              <w:rPr>
                <w:rFonts w:ascii="仿宋" w:hAnsi="仿宋" w:eastAsia="仿宋" w:cs="仿宋"/>
                <w:bCs/>
                <w:color w:val="000000" w:themeColor="text1"/>
                <w:sz w:val="21"/>
                <w:szCs w:val="21"/>
                <w14:textFill>
                  <w14:solidFill>
                    <w14:schemeClr w14:val="tx1"/>
                  </w14:solidFill>
                </w14:textFill>
              </w:rPr>
              <w:t>全国职业院校技能大赛，</w:t>
            </w:r>
            <w:r>
              <w:rPr>
                <w:rFonts w:hint="eastAsia" w:ascii="仿宋" w:hAnsi="仿宋" w:eastAsia="仿宋" w:cs="仿宋"/>
                <w:bCs/>
                <w:color w:val="000000" w:themeColor="text1"/>
                <w:sz w:val="21"/>
                <w:szCs w:val="21"/>
                <w14:textFill>
                  <w14:solidFill>
                    <w14:schemeClr w14:val="tx1"/>
                  </w14:solidFill>
                </w14:textFill>
              </w:rPr>
              <w:t>全面提升技能大赛获奖层次和水平，以赛促教，以赛促学，以赛促改</w:t>
            </w:r>
            <w:r>
              <w:rPr>
                <w:rFonts w:ascii="仿宋" w:hAnsi="仿宋" w:eastAsia="仿宋" w:cs="仿宋"/>
                <w:bCs/>
                <w:color w:val="000000" w:themeColor="text1"/>
                <w:sz w:val="21"/>
                <w:szCs w:val="21"/>
                <w14:textFill>
                  <w14:solidFill>
                    <w14:schemeClr w14:val="tx1"/>
                  </w14:solidFill>
                </w14:textFill>
              </w:rPr>
              <w:t>。</w:t>
            </w:r>
          </w:p>
        </w:tc>
        <w:tc>
          <w:tcPr>
            <w:tcW w:w="1111"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许永安</w:t>
            </w:r>
          </w:p>
        </w:tc>
        <w:tc>
          <w:tcPr>
            <w:tcW w:w="1746"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教务处</w:t>
            </w:r>
          </w:p>
        </w:tc>
        <w:tc>
          <w:tcPr>
            <w:tcW w:w="1433"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各教学院部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460" w:lineRule="exact"/>
              <w:ind w:firstLine="422" w:firstLineChars="200"/>
              <w:jc w:val="both"/>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19.扎实开展教学督导。</w:t>
            </w:r>
            <w:r>
              <w:rPr>
                <w:rFonts w:hint="eastAsia" w:ascii="仿宋" w:hAnsi="仿宋" w:eastAsia="仿宋" w:cs="仿宋"/>
                <w:bCs/>
                <w:color w:val="000000" w:themeColor="text1"/>
                <w:sz w:val="21"/>
                <w:szCs w:val="21"/>
                <w14:textFill>
                  <w14:solidFill>
                    <w14:schemeClr w14:val="tx1"/>
                  </w14:solidFill>
                </w14:textFill>
              </w:rPr>
              <w:t>创新教学督导检查机制，牢固树立全面质量管理理念，加强教学督导，强化校院（部）教学检查，坚持和完善巡课和听课、评课、教学观摩等评教评学制度，严格教学纪律和课堂纪律管理，提高学生到课率，强化人才培养全程的质量监控。</w:t>
            </w:r>
          </w:p>
        </w:tc>
        <w:tc>
          <w:tcPr>
            <w:tcW w:w="1111"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许永安</w:t>
            </w:r>
          </w:p>
        </w:tc>
        <w:tc>
          <w:tcPr>
            <w:tcW w:w="1746"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教务处</w:t>
            </w:r>
          </w:p>
        </w:tc>
        <w:tc>
          <w:tcPr>
            <w:tcW w:w="1433"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各教学院部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460" w:lineRule="exact"/>
              <w:ind w:firstLine="422" w:firstLineChars="200"/>
              <w:jc w:val="both"/>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20.大力拓展校企合作。</w:t>
            </w:r>
            <w:r>
              <w:rPr>
                <w:rFonts w:hint="eastAsia" w:ascii="仿宋" w:hAnsi="仿宋" w:eastAsia="仿宋" w:cs="仿宋"/>
                <w:bCs/>
                <w:color w:val="000000" w:themeColor="text1"/>
                <w:sz w:val="21"/>
                <w:szCs w:val="21"/>
                <w14:textFill>
                  <w14:solidFill>
                    <w14:schemeClr w14:val="tx1"/>
                  </w14:solidFill>
                </w14:textFill>
              </w:rPr>
              <w:t>加大校企合作的探索力度，优选与业内领先企业开展现代学徒制培养、企业新型学徒制和“订单式”联合培养。深化产教融合，积极创建“河南省</w:t>
            </w:r>
            <w:r>
              <w:rPr>
                <w:rFonts w:ascii="仿宋" w:hAnsi="仿宋" w:eastAsia="仿宋" w:cs="仿宋"/>
                <w:bCs/>
                <w:color w:val="000000" w:themeColor="text1"/>
                <w:sz w:val="21"/>
                <w:szCs w:val="21"/>
                <w14:textFill>
                  <w14:solidFill>
                    <w14:schemeClr w14:val="tx1"/>
                  </w14:solidFill>
                </w14:textFill>
              </w:rPr>
              <w:t>校企合作示范院校</w:t>
            </w:r>
            <w:r>
              <w:rPr>
                <w:rFonts w:hint="eastAsia" w:ascii="仿宋" w:hAnsi="仿宋" w:eastAsia="仿宋" w:cs="仿宋"/>
                <w:bCs/>
                <w:color w:val="000000" w:themeColor="text1"/>
                <w:sz w:val="21"/>
                <w:szCs w:val="21"/>
                <w14:textFill>
                  <w14:solidFill>
                    <w14:schemeClr w14:val="tx1"/>
                  </w14:solidFill>
                </w14:textFill>
              </w:rPr>
              <w:t>”，每个教学院部至少引进2个实质性校企合作项目。实行1+X(学历证书+职业技能等级证书) 证书制度，在校生取得专业相关资格证书人数不少于60%。</w:t>
            </w:r>
          </w:p>
        </w:tc>
        <w:tc>
          <w:tcPr>
            <w:tcW w:w="1111"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许永安</w:t>
            </w:r>
          </w:p>
        </w:tc>
        <w:tc>
          <w:tcPr>
            <w:tcW w:w="1746"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教务处</w:t>
            </w:r>
          </w:p>
        </w:tc>
        <w:tc>
          <w:tcPr>
            <w:tcW w:w="1433" w:type="dxa"/>
            <w:shd w:val="clear" w:color="auto" w:fill="auto"/>
            <w:vAlign w:val="center"/>
          </w:tcPr>
          <w:p>
            <w:pPr>
              <w:adjustRightInd w:val="0"/>
              <w:snapToGrid w:val="0"/>
              <w:spacing w:line="4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各教学院部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restart"/>
            <w:shd w:val="clear" w:color="auto" w:fill="auto"/>
            <w:vAlign w:val="center"/>
          </w:tcPr>
          <w:p>
            <w:pPr>
              <w:spacing w:line="400" w:lineRule="exact"/>
              <w:outlineLvl w:val="0"/>
              <w:rPr>
                <w:rFonts w:ascii="宋体" w:hAnsi="宋体" w:cs="黑体"/>
                <w:snapToGrid w:val="0"/>
                <w:color w:val="000000"/>
                <w:kern w:val="0"/>
                <w:sz w:val="24"/>
              </w:rPr>
            </w:pPr>
            <w:r>
              <w:rPr>
                <w:rFonts w:hint="eastAsia" w:ascii="黑体" w:hAnsi="黑体" w:eastAsia="黑体" w:cs="黑体"/>
                <w:bCs/>
                <w:szCs w:val="21"/>
              </w:rPr>
              <w:t>四、抓好招生就业工作，厚植学校发展基础</w:t>
            </w:r>
          </w:p>
        </w:tc>
        <w:tc>
          <w:tcPr>
            <w:tcW w:w="8826" w:type="dxa"/>
            <w:shd w:val="clear" w:color="auto" w:fill="auto"/>
            <w:vAlign w:val="center"/>
          </w:tcPr>
          <w:p>
            <w:pPr>
              <w:spacing w:line="400" w:lineRule="exact"/>
              <w:ind w:firstLine="422"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b/>
                <w:bCs/>
                <w:snapToGrid w:val="0"/>
                <w:color w:val="000000"/>
                <w:szCs w:val="21"/>
              </w:rPr>
              <w:t>21.</w:t>
            </w:r>
            <w:r>
              <w:rPr>
                <w:rFonts w:hint="eastAsia" w:ascii="仿宋" w:hAnsi="仿宋" w:eastAsia="仿宋"/>
                <w:b/>
                <w:snapToGrid w:val="0"/>
                <w:color w:val="000000"/>
                <w:szCs w:val="21"/>
              </w:rPr>
              <w:t>扩大全日制</w:t>
            </w:r>
            <w:r>
              <w:rPr>
                <w:rFonts w:hint="eastAsia" w:ascii="仿宋" w:hAnsi="仿宋" w:eastAsia="仿宋" w:cs="仿宋_GB2312"/>
                <w:b/>
                <w:snapToGrid w:val="0"/>
                <w:color w:val="000000"/>
                <w:szCs w:val="21"/>
              </w:rPr>
              <w:t>专科生规模。</w:t>
            </w:r>
            <w:r>
              <w:rPr>
                <w:rFonts w:hint="eastAsia" w:ascii="仿宋" w:hAnsi="仿宋" w:eastAsia="仿宋" w:cs="仿宋"/>
                <w:bCs/>
                <w:color w:val="000000" w:themeColor="text1"/>
                <w:szCs w:val="21"/>
                <w14:textFill>
                  <w14:solidFill>
                    <w14:schemeClr w14:val="tx1"/>
                  </w14:solidFill>
                </w14:textFill>
              </w:rPr>
              <w:t>抓好计划申请、招生宣传和严格录取三个环节，用好普招、单招和对口升学三个招生来源，加大招生宣传力度，广泛建立招生网络和高中优质生源基地，积极扩大普通大专和五年一贯制招生规模，厚植学校发展基础。</w:t>
            </w:r>
          </w:p>
        </w:tc>
        <w:tc>
          <w:tcPr>
            <w:tcW w:w="1111" w:type="dxa"/>
            <w:shd w:val="clear" w:color="auto" w:fill="auto"/>
            <w:vAlign w:val="center"/>
          </w:tcPr>
          <w:p>
            <w:pPr>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李森</w:t>
            </w:r>
          </w:p>
        </w:tc>
        <w:tc>
          <w:tcPr>
            <w:tcW w:w="1746" w:type="dxa"/>
            <w:shd w:val="clear" w:color="auto" w:fill="auto"/>
            <w:vAlign w:val="center"/>
          </w:tcPr>
          <w:p>
            <w:pPr>
              <w:spacing w:line="400" w:lineRule="exact"/>
              <w:ind w:firstLine="210" w:firstLineChars="1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招生就业处</w:t>
            </w:r>
          </w:p>
        </w:tc>
        <w:tc>
          <w:tcPr>
            <w:tcW w:w="1433" w:type="dxa"/>
            <w:shd w:val="clear" w:color="auto" w:fill="auto"/>
            <w:vAlign w:val="center"/>
          </w:tcPr>
          <w:p>
            <w:pPr>
              <w:spacing w:line="400" w:lineRule="exact"/>
              <w:ind w:firstLine="210" w:firstLineChars="1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各教学院部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spacing w:line="400" w:lineRule="exact"/>
              <w:ind w:firstLine="422"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_GB2312"/>
                <w:b/>
                <w:bCs/>
                <w:snapToGrid w:val="0"/>
                <w:color w:val="000000"/>
                <w:szCs w:val="21"/>
              </w:rPr>
              <w:t>22.</w:t>
            </w:r>
            <w:r>
              <w:rPr>
                <w:rFonts w:hint="eastAsia" w:ascii="仿宋" w:hAnsi="仿宋" w:eastAsia="仿宋" w:cs="仿宋_GB2312"/>
                <w:b/>
                <w:snapToGrid w:val="0"/>
                <w:color w:val="000000"/>
                <w:szCs w:val="21"/>
              </w:rPr>
              <w:t>加强成人教育和社会培训</w:t>
            </w:r>
            <w:r>
              <w:rPr>
                <w:rFonts w:hint="eastAsia" w:ascii="仿宋" w:hAnsi="仿宋" w:eastAsia="仿宋"/>
                <w:b/>
                <w:color w:val="000000"/>
                <w:szCs w:val="21"/>
              </w:rPr>
              <w:t>。</w:t>
            </w:r>
            <w:r>
              <w:rPr>
                <w:rFonts w:hint="eastAsia" w:ascii="仿宋" w:hAnsi="仿宋" w:eastAsia="仿宋" w:cs="仿宋"/>
                <w:bCs/>
                <w:color w:val="000000" w:themeColor="text1"/>
                <w:szCs w:val="21"/>
                <w14:textFill>
                  <w14:solidFill>
                    <w14:schemeClr w14:val="tx1"/>
                  </w14:solidFill>
                </w14:textFill>
              </w:rPr>
              <w:t>积极开展各类成人学历教育和社会培训，完成成人学历（继续）教育2500人和各类社会培训2000人次，实现办学效益的进一步提升。积极申报周口社区大学。</w:t>
            </w:r>
          </w:p>
        </w:tc>
        <w:tc>
          <w:tcPr>
            <w:tcW w:w="1111" w:type="dxa"/>
            <w:shd w:val="clear" w:color="auto" w:fill="auto"/>
            <w:vAlign w:val="center"/>
          </w:tcPr>
          <w:p>
            <w:pPr>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李庶泉</w:t>
            </w:r>
          </w:p>
        </w:tc>
        <w:tc>
          <w:tcPr>
            <w:tcW w:w="1746" w:type="dxa"/>
            <w:shd w:val="clear" w:color="auto" w:fill="auto"/>
            <w:vAlign w:val="center"/>
          </w:tcPr>
          <w:p>
            <w:pPr>
              <w:spacing w:line="400" w:lineRule="exact"/>
              <w:ind w:firstLine="210" w:firstLineChars="1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继续教育学院</w:t>
            </w:r>
          </w:p>
        </w:tc>
        <w:tc>
          <w:tcPr>
            <w:tcW w:w="1433" w:type="dxa"/>
            <w:shd w:val="clear" w:color="auto" w:fill="auto"/>
            <w:vAlign w:val="center"/>
          </w:tcPr>
          <w:p>
            <w:pPr>
              <w:spacing w:line="400" w:lineRule="exact"/>
              <w:ind w:firstLine="210" w:firstLineChars="1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各教学院部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spacing w:line="400" w:lineRule="exact"/>
              <w:ind w:firstLine="422"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b/>
                <w:snapToGrid w:val="0"/>
                <w:color w:val="000000"/>
                <w:szCs w:val="21"/>
              </w:rPr>
              <w:t>23.做好就业创业指导服务。</w:t>
            </w:r>
            <w:r>
              <w:rPr>
                <w:rFonts w:hint="eastAsia" w:ascii="仿宋" w:hAnsi="仿宋" w:eastAsia="仿宋" w:cs="仿宋"/>
                <w:bCs/>
                <w:color w:val="000000" w:themeColor="text1"/>
                <w:szCs w:val="21"/>
                <w14:textFill>
                  <w14:solidFill>
                    <w14:schemeClr w14:val="tx1"/>
                  </w14:solidFill>
                </w14:textFill>
              </w:rPr>
              <w:t>推进双创课程体系落实到人才培养全过程，整合校内创新创业教育资源，积极开展创新创业培训。做好毕业生离校后的就业跟踪、统计、调查、服务工作，使毕业生就业率保持在95%以上。发挥众创空间的“双创”平台作用，为学生创新创业提供全面服务。</w:t>
            </w:r>
          </w:p>
        </w:tc>
        <w:tc>
          <w:tcPr>
            <w:tcW w:w="1111" w:type="dxa"/>
            <w:shd w:val="clear" w:color="auto" w:fill="auto"/>
            <w:vAlign w:val="center"/>
          </w:tcPr>
          <w:p>
            <w:pPr>
              <w:spacing w:line="400" w:lineRule="exact"/>
              <w:ind w:firstLine="210" w:firstLineChars="1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李森</w:t>
            </w:r>
          </w:p>
        </w:tc>
        <w:tc>
          <w:tcPr>
            <w:tcW w:w="1746" w:type="dxa"/>
            <w:shd w:val="clear" w:color="auto" w:fill="auto"/>
            <w:vAlign w:val="center"/>
          </w:tcPr>
          <w:p>
            <w:pPr>
              <w:spacing w:line="400" w:lineRule="exact"/>
              <w:ind w:firstLine="210" w:firstLineChars="1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招生就业处</w:t>
            </w:r>
          </w:p>
        </w:tc>
        <w:tc>
          <w:tcPr>
            <w:tcW w:w="1433" w:type="dxa"/>
            <w:shd w:val="clear" w:color="auto" w:fill="auto"/>
            <w:vAlign w:val="center"/>
          </w:tcPr>
          <w:p>
            <w:pPr>
              <w:spacing w:line="400" w:lineRule="exact"/>
              <w:ind w:firstLine="210" w:firstLineChars="1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restart"/>
            <w:shd w:val="clear" w:color="auto" w:fill="auto"/>
            <w:vAlign w:val="center"/>
          </w:tcPr>
          <w:p>
            <w:pPr>
              <w:spacing w:line="400" w:lineRule="exact"/>
              <w:rPr>
                <w:rFonts w:ascii="宋体" w:hAnsi="宋体" w:cs="黑体"/>
                <w:snapToGrid w:val="0"/>
                <w:color w:val="000000"/>
                <w:kern w:val="0"/>
                <w:sz w:val="24"/>
              </w:rPr>
            </w:pPr>
            <w:r>
              <w:rPr>
                <w:rFonts w:hint="eastAsia" w:ascii="黑体" w:hAnsi="黑体" w:eastAsia="黑体" w:cs="黑体"/>
                <w:bCs/>
                <w:color w:val="000000" w:themeColor="text1"/>
                <w:szCs w:val="21"/>
                <w14:textFill>
                  <w14:solidFill>
                    <w14:schemeClr w14:val="tx1"/>
                  </w14:solidFill>
                </w14:textFill>
              </w:rPr>
              <w:t>五、树牢立德树人意识，提高学管工作水平</w:t>
            </w:r>
          </w:p>
        </w:tc>
        <w:tc>
          <w:tcPr>
            <w:tcW w:w="8826" w:type="dxa"/>
            <w:shd w:val="clear" w:color="auto" w:fill="auto"/>
            <w:vAlign w:val="center"/>
          </w:tcPr>
          <w:p>
            <w:pPr>
              <w:pStyle w:val="5"/>
              <w:widowControl w:val="0"/>
              <w:spacing w:before="0" w:beforeAutospacing="0" w:after="0" w:afterAutospacing="0" w:line="400" w:lineRule="exact"/>
              <w:ind w:firstLine="422" w:firstLineChars="200"/>
              <w:jc w:val="both"/>
              <w:rPr>
                <w:rFonts w:cs="仿宋_GB2312"/>
                <w:color w:val="000000"/>
              </w:rPr>
            </w:pPr>
            <w:r>
              <w:rPr>
                <w:rFonts w:hint="eastAsia" w:ascii="仿宋" w:hAnsi="仿宋" w:eastAsia="仿宋" w:cs="仿宋"/>
                <w:b/>
                <w:bCs/>
                <w:color w:val="000000" w:themeColor="text1"/>
                <w:sz w:val="21"/>
                <w:szCs w:val="21"/>
                <w14:textFill>
                  <w14:solidFill>
                    <w14:schemeClr w14:val="tx1"/>
                  </w14:solidFill>
                </w14:textFill>
              </w:rPr>
              <w:t>24.加强辅导员队伍建设。</w:t>
            </w:r>
            <w:r>
              <w:rPr>
                <w:rFonts w:hint="eastAsia" w:ascii="仿宋" w:hAnsi="仿宋" w:eastAsia="仿宋" w:cs="仿宋"/>
                <w:bCs/>
                <w:color w:val="000000" w:themeColor="text1"/>
                <w:kern w:val="2"/>
                <w:sz w:val="21"/>
                <w:szCs w:val="21"/>
                <w14:textFill>
                  <w14:solidFill>
                    <w14:schemeClr w14:val="tx1"/>
                  </w14:solidFill>
                </w14:textFill>
              </w:rPr>
              <w:t>加强辅导员队伍建设，坚持配齐与配强、严管与厚爱、激励与约束“三个结合”，全面推进辅导员队伍整体质量不断提升。拓宽辅导员上升渠道，修订《辅导员队伍建设和管理办法》，完善辅导员量化考核办法，</w:t>
            </w:r>
            <w:r>
              <w:rPr>
                <w:rFonts w:ascii="仿宋" w:hAnsi="仿宋" w:eastAsia="仿宋" w:cs="仿宋"/>
                <w:bCs/>
                <w:color w:val="000000" w:themeColor="text1"/>
                <w:kern w:val="2"/>
                <w:sz w:val="21"/>
                <w:szCs w:val="21"/>
                <w14:textFill>
                  <w14:solidFill>
                    <w14:schemeClr w14:val="tx1"/>
                  </w14:solidFill>
                </w14:textFill>
              </w:rPr>
              <w:t>突出思想政治、纪律作风、工作实绩、学生认可的考核权重</w:t>
            </w:r>
            <w:r>
              <w:rPr>
                <w:rFonts w:hint="eastAsia" w:ascii="仿宋" w:hAnsi="仿宋" w:eastAsia="仿宋" w:cs="仿宋"/>
                <w:bCs/>
                <w:color w:val="000000" w:themeColor="text1"/>
                <w:kern w:val="2"/>
                <w:sz w:val="21"/>
                <w:szCs w:val="21"/>
                <w14:textFill>
                  <w14:solidFill>
                    <w14:schemeClr w14:val="tx1"/>
                  </w14:solidFill>
                </w14:textFill>
              </w:rPr>
              <w:t>，</w:t>
            </w:r>
            <w:r>
              <w:rPr>
                <w:rFonts w:ascii="仿宋" w:hAnsi="仿宋" w:eastAsia="仿宋" w:cs="仿宋"/>
                <w:bCs/>
                <w:color w:val="000000" w:themeColor="text1"/>
                <w:kern w:val="2"/>
                <w:sz w:val="21"/>
                <w:szCs w:val="21"/>
                <w14:textFill>
                  <w14:solidFill>
                    <w14:schemeClr w14:val="tx1"/>
                  </w14:solidFill>
                </w14:textFill>
              </w:rPr>
              <w:t>同时建立日常履职尽责“负面清单”硬约束机制，引导辅导员严格自律、忠诚履职、敬业爱生。</w:t>
            </w:r>
          </w:p>
        </w:tc>
        <w:tc>
          <w:tcPr>
            <w:tcW w:w="1111" w:type="dxa"/>
            <w:shd w:val="clear" w:color="auto" w:fill="auto"/>
            <w:vAlign w:val="center"/>
          </w:tcPr>
          <w:p>
            <w:pPr>
              <w:adjustRightInd w:val="0"/>
              <w:snapToGrid w:val="0"/>
              <w:spacing w:line="400" w:lineRule="exact"/>
              <w:jc w:val="center"/>
              <w:rPr>
                <w:rFonts w:ascii="宋体" w:hAnsi="宋体" w:cs="仿宋_GB2312"/>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李森</w:t>
            </w:r>
          </w:p>
        </w:tc>
        <w:tc>
          <w:tcPr>
            <w:tcW w:w="1746" w:type="dxa"/>
            <w:shd w:val="clear" w:color="auto" w:fill="auto"/>
            <w:vAlign w:val="center"/>
          </w:tcPr>
          <w:p>
            <w:pPr>
              <w:adjustRightInd w:val="0"/>
              <w:snapToGrid w:val="0"/>
              <w:spacing w:line="400" w:lineRule="exact"/>
              <w:jc w:val="center"/>
              <w:rPr>
                <w:rFonts w:ascii="宋体" w:hAnsi="宋体" w:cs="仿宋_GB2312"/>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学生处</w:t>
            </w:r>
          </w:p>
        </w:tc>
        <w:tc>
          <w:tcPr>
            <w:tcW w:w="1433" w:type="dxa"/>
            <w:shd w:val="clear" w:color="auto" w:fill="auto"/>
            <w:vAlign w:val="center"/>
          </w:tcPr>
          <w:p>
            <w:pPr>
              <w:adjustRightInd w:val="0"/>
              <w:snapToGrid w:val="0"/>
              <w:spacing w:line="40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各教学院部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400" w:lineRule="exact"/>
              <w:ind w:firstLine="422" w:firstLineChars="200"/>
              <w:jc w:val="both"/>
              <w:rPr>
                <w:rFonts w:cs="仿宋_GB2312"/>
                <w:snapToGrid w:val="0"/>
                <w:color w:val="000000"/>
              </w:rPr>
            </w:pPr>
            <w:r>
              <w:rPr>
                <w:rFonts w:hint="eastAsia" w:ascii="仿宋" w:hAnsi="仿宋" w:eastAsia="仿宋" w:cs="仿宋"/>
                <w:b/>
                <w:bCs/>
                <w:color w:val="000000" w:themeColor="text1"/>
                <w:sz w:val="21"/>
                <w:szCs w:val="21"/>
                <w14:textFill>
                  <w14:solidFill>
                    <w14:schemeClr w14:val="tx1"/>
                  </w14:solidFill>
                </w14:textFill>
              </w:rPr>
              <w:t>25.落实国家精准资助政策。</w:t>
            </w:r>
            <w:r>
              <w:rPr>
                <w:rFonts w:hint="eastAsia" w:ascii="仿宋" w:hAnsi="仿宋" w:eastAsia="仿宋" w:cs="仿宋"/>
                <w:bCs/>
                <w:color w:val="000000" w:themeColor="text1"/>
                <w:sz w:val="21"/>
                <w:szCs w:val="21"/>
                <w14:textFill>
                  <w14:solidFill>
                    <w14:schemeClr w14:val="tx1"/>
                  </w14:solidFill>
                </w14:textFill>
              </w:rPr>
              <w:t>创新资助育人工作模式，规范“奖、助、贷、补”评审与发放工作，构建“扶困、扶智、扶志”资助育人工作机制，提升资助育人工作成效。</w:t>
            </w:r>
          </w:p>
        </w:tc>
        <w:tc>
          <w:tcPr>
            <w:tcW w:w="1111" w:type="dxa"/>
            <w:shd w:val="clear" w:color="auto" w:fill="auto"/>
            <w:vAlign w:val="center"/>
          </w:tcPr>
          <w:p>
            <w:pPr>
              <w:adjustRightInd w:val="0"/>
              <w:snapToGrid w:val="0"/>
              <w:spacing w:line="40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李森</w:t>
            </w:r>
          </w:p>
        </w:tc>
        <w:tc>
          <w:tcPr>
            <w:tcW w:w="1746" w:type="dxa"/>
            <w:shd w:val="clear" w:color="auto" w:fill="auto"/>
            <w:vAlign w:val="center"/>
          </w:tcPr>
          <w:p>
            <w:pPr>
              <w:adjustRightInd w:val="0"/>
              <w:snapToGrid w:val="0"/>
              <w:spacing w:line="40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学生处</w:t>
            </w:r>
          </w:p>
        </w:tc>
        <w:tc>
          <w:tcPr>
            <w:tcW w:w="1433" w:type="dxa"/>
            <w:shd w:val="clear" w:color="auto" w:fill="auto"/>
            <w:vAlign w:val="center"/>
          </w:tcPr>
          <w:p>
            <w:pPr>
              <w:spacing w:line="40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各教学院部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400" w:lineRule="exact"/>
              <w:ind w:firstLine="422" w:firstLineChars="200"/>
              <w:jc w:val="both"/>
              <w:rPr>
                <w:rFonts w:cs="仿宋_GB2312"/>
                <w:snapToGrid w:val="0"/>
                <w:color w:val="000000"/>
              </w:rPr>
            </w:pPr>
            <w:r>
              <w:rPr>
                <w:rFonts w:hint="eastAsia" w:ascii="仿宋" w:hAnsi="仿宋" w:eastAsia="仿宋" w:cs="仿宋"/>
                <w:b/>
                <w:bCs/>
                <w:color w:val="000000" w:themeColor="text1"/>
                <w:sz w:val="21"/>
                <w:szCs w:val="21"/>
                <w14:textFill>
                  <w14:solidFill>
                    <w14:schemeClr w14:val="tx1"/>
                  </w14:solidFill>
                </w14:textFill>
              </w:rPr>
              <w:t>26.加强学生心理健康教育。</w:t>
            </w:r>
            <w:r>
              <w:rPr>
                <w:rFonts w:ascii="仿宋" w:hAnsi="仿宋" w:eastAsia="仿宋" w:cs="仿宋"/>
                <w:bCs/>
                <w:color w:val="000000" w:themeColor="text1"/>
                <w:sz w:val="21"/>
                <w:szCs w:val="21"/>
                <w14:textFill>
                  <w14:solidFill>
                    <w14:schemeClr w14:val="tx1"/>
                  </w14:solidFill>
                </w14:textFill>
              </w:rPr>
              <w:t>把心理健康教育课程纳入学校整体教学计划，实现大学生心理健康教育全覆盖；举办心理健康教育月、“5·25”大学生心理健康节等主题教育活动，增强心理健康教育吸引力和感染力；构建教育与指导、咨询与自助、自助与他助紧密结合的心理健康教育。</w:t>
            </w:r>
          </w:p>
        </w:tc>
        <w:tc>
          <w:tcPr>
            <w:tcW w:w="1111"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赵振然</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李森</w:t>
            </w:r>
          </w:p>
        </w:tc>
        <w:tc>
          <w:tcPr>
            <w:tcW w:w="1746"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思政课教学部</w:t>
            </w:r>
          </w:p>
          <w:p>
            <w:pPr>
              <w:adjustRightInd w:val="0"/>
              <w:snapToGrid w:val="0"/>
              <w:spacing w:line="400" w:lineRule="exact"/>
              <w:jc w:val="center"/>
              <w:rPr>
                <w:rFonts w:ascii="宋体" w:hAnsi="宋体" w:cs="仿宋_GB2312"/>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学生处</w:t>
            </w:r>
          </w:p>
        </w:tc>
        <w:tc>
          <w:tcPr>
            <w:tcW w:w="1433" w:type="dxa"/>
            <w:shd w:val="clear" w:color="auto" w:fill="auto"/>
            <w:vAlign w:val="center"/>
          </w:tcPr>
          <w:p>
            <w:pPr>
              <w:spacing w:line="40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各教学院部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400" w:lineRule="exact"/>
              <w:ind w:firstLine="422" w:firstLineChars="200"/>
              <w:jc w:val="both"/>
              <w:rPr>
                <w:color w:val="000000"/>
              </w:rPr>
            </w:pPr>
            <w:r>
              <w:rPr>
                <w:rFonts w:hint="eastAsia" w:ascii="仿宋" w:hAnsi="仿宋" w:eastAsia="仿宋" w:cs="仿宋"/>
                <w:b/>
                <w:bCs/>
                <w:color w:val="000000" w:themeColor="text1"/>
                <w:sz w:val="21"/>
                <w:szCs w:val="21"/>
                <w14:textFill>
                  <w14:solidFill>
                    <w14:schemeClr w14:val="tx1"/>
                  </w14:solidFill>
                </w14:textFill>
              </w:rPr>
              <w:t>27.创新服务学生载体。</w:t>
            </w:r>
            <w:r>
              <w:rPr>
                <w:rFonts w:hint="eastAsia" w:ascii="仿宋" w:hAnsi="仿宋" w:eastAsia="仿宋" w:cs="仿宋"/>
                <w:bCs/>
                <w:color w:val="000000" w:themeColor="text1"/>
                <w:sz w:val="21"/>
                <w:szCs w:val="21"/>
                <w14:textFill>
                  <w14:solidFill>
                    <w14:schemeClr w14:val="tx1"/>
                  </w14:solidFill>
                </w14:textFill>
              </w:rPr>
              <w:t>加强学生干部队伍建设。严格学生学籍学历档案管理，出台《周口职业技术学院学生档案管理规定》，加强新生入学资格复查，维护教育公平公正。加强网络服务平台的教育作用，打造便捷化的实践平台、网络交流学习平台和创新创业服务平台，为学生在适应性教育、专业思想教育和技能训练、志愿服务、社会实践、文化传承、就业服务上提供更好的指导和服务。以日常检查评比为导向，加强对学生的日常管理和</w:t>
            </w:r>
            <w:r>
              <w:rPr>
                <w:rFonts w:hint="eastAsia" w:ascii="仿宋" w:hAnsi="仿宋" w:eastAsia="仿宋" w:cs="仿宋"/>
                <w:bCs/>
                <w:sz w:val="21"/>
                <w:szCs w:val="21"/>
              </w:rPr>
              <w:t>安全</w:t>
            </w:r>
            <w:r>
              <w:rPr>
                <w:rFonts w:hint="eastAsia" w:ascii="仿宋" w:hAnsi="仿宋" w:eastAsia="仿宋" w:cs="仿宋"/>
                <w:bCs/>
                <w:color w:val="000000" w:themeColor="text1"/>
                <w:sz w:val="21"/>
                <w:szCs w:val="21"/>
                <w14:textFill>
                  <w14:solidFill>
                    <w14:schemeClr w14:val="tx1"/>
                  </w14:solidFill>
                </w14:textFill>
              </w:rPr>
              <w:t>教育，全面提升学生的规则意识和素质素养。</w:t>
            </w:r>
          </w:p>
        </w:tc>
        <w:tc>
          <w:tcPr>
            <w:tcW w:w="1111" w:type="dxa"/>
            <w:shd w:val="clear" w:color="auto" w:fill="auto"/>
            <w:vAlign w:val="center"/>
          </w:tcPr>
          <w:p>
            <w:pPr>
              <w:adjustRightInd w:val="0"/>
              <w:snapToGrid w:val="0"/>
              <w:spacing w:line="40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李森</w:t>
            </w:r>
          </w:p>
        </w:tc>
        <w:tc>
          <w:tcPr>
            <w:tcW w:w="1746"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学生处</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团委</w:t>
            </w:r>
          </w:p>
        </w:tc>
        <w:tc>
          <w:tcPr>
            <w:tcW w:w="1433" w:type="dxa"/>
            <w:shd w:val="clear" w:color="auto" w:fill="auto"/>
            <w:vAlign w:val="center"/>
          </w:tcPr>
          <w:p>
            <w:pPr>
              <w:spacing w:line="40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各教学院部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restart"/>
            <w:shd w:val="clear" w:color="auto" w:fill="auto"/>
            <w:vAlign w:val="center"/>
          </w:tcPr>
          <w:p>
            <w:pPr>
              <w:pStyle w:val="5"/>
              <w:widowControl w:val="0"/>
              <w:spacing w:before="0" w:beforeAutospacing="0" w:after="0" w:afterAutospacing="0" w:line="400" w:lineRule="exact"/>
              <w:jc w:val="both"/>
              <w:rPr>
                <w:color w:val="000000"/>
              </w:rPr>
            </w:pPr>
            <w:r>
              <w:rPr>
                <w:rFonts w:hint="eastAsia" w:ascii="黑体" w:hAnsi="黑体" w:eastAsia="黑体" w:cs="黑体"/>
                <w:bCs/>
                <w:color w:val="000000" w:themeColor="text1"/>
                <w:sz w:val="21"/>
                <w:szCs w:val="21"/>
                <w14:textFill>
                  <w14:solidFill>
                    <w14:schemeClr w14:val="tx1"/>
                  </w14:solidFill>
                </w14:textFill>
              </w:rPr>
              <w:t>六、服务学校发展大局，实施人才强校战略</w:t>
            </w:r>
          </w:p>
        </w:tc>
        <w:tc>
          <w:tcPr>
            <w:tcW w:w="8826" w:type="dxa"/>
            <w:shd w:val="clear" w:color="auto" w:fill="auto"/>
            <w:vAlign w:val="center"/>
          </w:tcPr>
          <w:p>
            <w:pPr>
              <w:spacing w:line="400" w:lineRule="exact"/>
              <w:ind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28.实施人才强校战略。</w:t>
            </w:r>
            <w:r>
              <w:rPr>
                <w:rFonts w:hint="eastAsia" w:ascii="仿宋" w:hAnsi="仿宋" w:eastAsia="仿宋" w:cs="仿宋"/>
                <w:bCs/>
                <w:szCs w:val="21"/>
              </w:rPr>
              <w:t>大力</w:t>
            </w:r>
            <w:r>
              <w:rPr>
                <w:rFonts w:hint="eastAsia" w:ascii="仿宋" w:hAnsi="仿宋" w:eastAsia="仿宋" w:cs="仿宋"/>
                <w:bCs/>
                <w:color w:val="000000" w:themeColor="text1"/>
                <w:szCs w:val="21"/>
                <w14:textFill>
                  <w14:solidFill>
                    <w14:schemeClr w14:val="tx1"/>
                  </w14:solidFill>
                </w14:textFill>
              </w:rPr>
              <w:t>实施“人才强校”战略，重点引进学校紧缺、高层次专业人才；</w:t>
            </w:r>
            <w:r>
              <w:rPr>
                <w:rFonts w:hint="eastAsia" w:ascii="仿宋" w:hAnsi="仿宋" w:eastAsia="仿宋" w:cs="仿宋"/>
                <w:bCs/>
                <w:szCs w:val="21"/>
              </w:rPr>
              <w:t>合理利用63个空余编制，解决人事代理人员编制问题；</w:t>
            </w:r>
            <w:r>
              <w:rPr>
                <w:rFonts w:hint="eastAsia" w:ascii="仿宋" w:hAnsi="仿宋" w:eastAsia="仿宋" w:cs="仿宋"/>
                <w:bCs/>
                <w:color w:val="000000" w:themeColor="text1"/>
                <w:szCs w:val="21"/>
                <w14:textFill>
                  <w14:solidFill>
                    <w14:schemeClr w14:val="tx1"/>
                  </w14:solidFill>
                </w14:textFill>
              </w:rPr>
              <w:t>争取引进50名硕士研究生及以上学历高层次人才。</w:t>
            </w:r>
          </w:p>
        </w:tc>
        <w:tc>
          <w:tcPr>
            <w:tcW w:w="1111" w:type="dxa"/>
            <w:shd w:val="clear" w:color="auto" w:fill="auto"/>
            <w:vAlign w:val="center"/>
          </w:tcPr>
          <w:p>
            <w:pPr>
              <w:adjustRightInd w:val="0"/>
              <w:snapToGrid w:val="0"/>
              <w:spacing w:line="400" w:lineRule="exact"/>
              <w:jc w:val="center"/>
              <w:rPr>
                <w:rFonts w:ascii="仿宋" w:hAnsi="仿宋" w:eastAsia="仿宋" w:cs="仿宋"/>
                <w:bCs/>
                <w:szCs w:val="21"/>
              </w:rPr>
            </w:pPr>
            <w:r>
              <w:rPr>
                <w:rFonts w:hint="eastAsia" w:ascii="仿宋" w:hAnsi="仿宋" w:eastAsia="仿宋" w:cs="仿宋"/>
                <w:bCs/>
                <w:szCs w:val="21"/>
              </w:rPr>
              <w:t>李庶泉</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szCs w:val="21"/>
              </w:rPr>
              <w:t>许永安</w:t>
            </w:r>
          </w:p>
        </w:tc>
        <w:tc>
          <w:tcPr>
            <w:tcW w:w="1746" w:type="dxa"/>
            <w:shd w:val="clear" w:color="auto" w:fill="auto"/>
            <w:vAlign w:val="center"/>
          </w:tcPr>
          <w:p>
            <w:pPr>
              <w:adjustRightInd w:val="0"/>
              <w:snapToGrid w:val="0"/>
              <w:spacing w:line="400" w:lineRule="exact"/>
              <w:jc w:val="center"/>
              <w:rPr>
                <w:rFonts w:ascii="仿宋" w:hAnsi="仿宋" w:eastAsia="仿宋" w:cs="仿宋"/>
                <w:bCs/>
                <w:szCs w:val="21"/>
              </w:rPr>
            </w:pPr>
            <w:r>
              <w:rPr>
                <w:rFonts w:hint="eastAsia" w:ascii="仿宋" w:hAnsi="仿宋" w:eastAsia="仿宋" w:cs="仿宋"/>
                <w:bCs/>
                <w:szCs w:val="21"/>
              </w:rPr>
              <w:t>人事处</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szCs w:val="21"/>
              </w:rPr>
              <w:t>教务处</w:t>
            </w:r>
          </w:p>
        </w:tc>
        <w:tc>
          <w:tcPr>
            <w:tcW w:w="1433"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szCs w:val="21"/>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spacing w:line="400" w:lineRule="exact"/>
              <w:ind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29.加强教师队伍建设。</w:t>
            </w:r>
            <w:r>
              <w:rPr>
                <w:rFonts w:hint="eastAsia" w:ascii="仿宋" w:hAnsi="仿宋" w:eastAsia="仿宋" w:cs="仿宋"/>
                <w:bCs/>
                <w:color w:val="000000" w:themeColor="text1"/>
                <w:szCs w:val="21"/>
                <w14:textFill>
                  <w14:solidFill>
                    <w14:schemeClr w14:val="tx1"/>
                  </w14:solidFill>
                </w14:textFill>
              </w:rPr>
              <w:t>做好“国培”“省培”校内培训，培养校内专业带头人10人，新增省级学术技术带头人和省级青年骨干教师2人以上。加强“双师”教学团队建设，“双师”教师比例达到85%，建立“双师型”教师培养培训基地。</w:t>
            </w:r>
            <w:r>
              <w:rPr>
                <w:rFonts w:hint="eastAsia" w:ascii="仿宋" w:hAnsi="仿宋" w:eastAsia="仿宋" w:cs="仿宋"/>
                <w:bCs/>
                <w:szCs w:val="21"/>
              </w:rPr>
              <w:t>修订完善《教职工进修学习管理办法》，鼓励教师攻读高一级学历学位。</w:t>
            </w:r>
            <w:r>
              <w:rPr>
                <w:rFonts w:hint="eastAsia" w:ascii="仿宋" w:hAnsi="仿宋" w:eastAsia="仿宋" w:cs="仿宋"/>
                <w:bCs/>
                <w:color w:val="000000" w:themeColor="text1"/>
                <w:szCs w:val="21"/>
                <w14:textFill>
                  <w14:solidFill>
                    <w14:schemeClr w14:val="tx1"/>
                  </w14:solidFill>
                </w14:textFill>
              </w:rPr>
              <w:t>鼓励教师参加各类教学技能竞赛。组建学校兼职教师资源库，加大兼职教师的聘用和管理。</w:t>
            </w:r>
          </w:p>
        </w:tc>
        <w:tc>
          <w:tcPr>
            <w:tcW w:w="1111" w:type="dxa"/>
            <w:shd w:val="clear" w:color="auto" w:fill="auto"/>
            <w:vAlign w:val="center"/>
          </w:tcPr>
          <w:p>
            <w:pPr>
              <w:adjustRightInd w:val="0"/>
              <w:snapToGrid w:val="0"/>
              <w:spacing w:line="400" w:lineRule="exact"/>
              <w:jc w:val="center"/>
              <w:rPr>
                <w:rFonts w:ascii="仿宋" w:hAnsi="仿宋" w:eastAsia="仿宋" w:cs="仿宋"/>
                <w:bCs/>
                <w:szCs w:val="21"/>
              </w:rPr>
            </w:pPr>
            <w:r>
              <w:rPr>
                <w:rFonts w:hint="eastAsia" w:ascii="仿宋" w:hAnsi="仿宋" w:eastAsia="仿宋" w:cs="仿宋"/>
                <w:bCs/>
                <w:szCs w:val="21"/>
              </w:rPr>
              <w:t>李庶泉</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szCs w:val="21"/>
              </w:rPr>
              <w:t>许永安</w:t>
            </w:r>
          </w:p>
        </w:tc>
        <w:tc>
          <w:tcPr>
            <w:tcW w:w="1746" w:type="dxa"/>
            <w:shd w:val="clear" w:color="auto" w:fill="auto"/>
            <w:vAlign w:val="center"/>
          </w:tcPr>
          <w:p>
            <w:pPr>
              <w:adjustRightInd w:val="0"/>
              <w:snapToGrid w:val="0"/>
              <w:spacing w:line="400" w:lineRule="exact"/>
              <w:jc w:val="center"/>
              <w:rPr>
                <w:rFonts w:ascii="仿宋" w:hAnsi="仿宋" w:eastAsia="仿宋" w:cs="仿宋"/>
                <w:bCs/>
                <w:szCs w:val="21"/>
              </w:rPr>
            </w:pPr>
            <w:r>
              <w:rPr>
                <w:rFonts w:hint="eastAsia" w:ascii="仿宋" w:hAnsi="仿宋" w:eastAsia="仿宋" w:cs="仿宋"/>
                <w:bCs/>
                <w:szCs w:val="21"/>
              </w:rPr>
              <w:t>人事处</w:t>
            </w:r>
          </w:p>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szCs w:val="21"/>
              </w:rPr>
              <w:t>教务处</w:t>
            </w:r>
          </w:p>
        </w:tc>
        <w:tc>
          <w:tcPr>
            <w:tcW w:w="1433"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szCs w:val="21"/>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spacing w:line="400" w:lineRule="exact"/>
              <w:ind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30.做好职称评审工作。</w:t>
            </w:r>
            <w:r>
              <w:rPr>
                <w:rFonts w:hint="eastAsia" w:ascii="仿宋" w:hAnsi="仿宋" w:eastAsia="仿宋" w:cs="仿宋"/>
                <w:bCs/>
                <w:color w:val="000000" w:themeColor="text1"/>
                <w:szCs w:val="21"/>
                <w14:textFill>
                  <w14:solidFill>
                    <w14:schemeClr w14:val="tx1"/>
                  </w14:solidFill>
                </w14:textFill>
              </w:rPr>
              <w:t>深化职称评审改革，完善职称评审办法，改善职称结构，建设结构优化、梯队合理、质量意识强、教学水平高、科研成果丰硕、企业经历丰富的师资队伍。</w:t>
            </w:r>
          </w:p>
        </w:tc>
        <w:tc>
          <w:tcPr>
            <w:tcW w:w="1111"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李庶泉</w:t>
            </w:r>
          </w:p>
        </w:tc>
        <w:tc>
          <w:tcPr>
            <w:tcW w:w="1746"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人事处</w:t>
            </w:r>
          </w:p>
        </w:tc>
        <w:tc>
          <w:tcPr>
            <w:tcW w:w="1433"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400" w:lineRule="exact"/>
              <w:ind w:firstLine="422" w:firstLineChars="200"/>
              <w:jc w:val="both"/>
              <w:rPr>
                <w:rFonts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31.</w:t>
            </w:r>
            <w:r>
              <w:rPr>
                <w:rFonts w:hint="eastAsia" w:ascii="仿宋" w:hAnsi="仿宋" w:eastAsia="仿宋" w:cs="仿宋"/>
                <w:b/>
                <w:color w:val="000000" w:themeColor="text1"/>
                <w:sz w:val="21"/>
                <w:szCs w:val="21"/>
                <w14:textFill>
                  <w14:solidFill>
                    <w14:schemeClr w14:val="tx1"/>
                  </w14:solidFill>
                </w14:textFill>
              </w:rPr>
              <w:t>深化人事机构和绩效分配制度改革。</w:t>
            </w:r>
            <w:r>
              <w:rPr>
                <w:rFonts w:hint="eastAsia" w:ascii="仿宋" w:hAnsi="仿宋" w:eastAsia="仿宋" w:cs="仿宋"/>
                <w:bCs/>
                <w:color w:val="000000" w:themeColor="text1"/>
                <w:sz w:val="21"/>
                <w:szCs w:val="21"/>
                <w14:textFill>
                  <w14:solidFill>
                    <w14:schemeClr w14:val="tx1"/>
                  </w14:solidFill>
                </w14:textFill>
              </w:rPr>
              <w:t>修订完善以编制、用人制度、职称评审和分配制度改革为主要内容的人事机构与绩效分配制度改革，激发办学活力。探索建立学校事业发展与教职工收入稳步增长的协调机制，优化分配结构，稳步提升工资水平。</w:t>
            </w:r>
          </w:p>
        </w:tc>
        <w:tc>
          <w:tcPr>
            <w:tcW w:w="1111"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李庶泉</w:t>
            </w:r>
          </w:p>
        </w:tc>
        <w:tc>
          <w:tcPr>
            <w:tcW w:w="1746"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人事处</w:t>
            </w:r>
          </w:p>
        </w:tc>
        <w:tc>
          <w:tcPr>
            <w:tcW w:w="1433" w:type="dxa"/>
            <w:shd w:val="clear" w:color="auto" w:fill="auto"/>
            <w:vAlign w:val="center"/>
          </w:tcPr>
          <w:p>
            <w:pPr>
              <w:adjustRightInd w:val="0"/>
              <w:snapToGrid w:val="0"/>
              <w:spacing w:line="40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96" w:type="dxa"/>
            <w:vMerge w:val="restart"/>
            <w:shd w:val="clear" w:color="auto" w:fill="auto"/>
            <w:vAlign w:val="center"/>
          </w:tcPr>
          <w:p>
            <w:pPr>
              <w:spacing w:line="400" w:lineRule="exact"/>
              <w:rPr>
                <w:rFonts w:ascii="宋体" w:hAnsi="宋体" w:cs="黑体"/>
                <w:snapToGrid w:val="0"/>
                <w:color w:val="000000"/>
                <w:kern w:val="0"/>
                <w:sz w:val="24"/>
              </w:rPr>
            </w:pPr>
            <w:r>
              <w:rPr>
                <w:rFonts w:hint="eastAsia" w:ascii="黑体" w:hAnsi="黑体" w:eastAsia="黑体" w:cs="黑体"/>
                <w:bCs/>
                <w:color w:val="000000" w:themeColor="text1"/>
                <w:szCs w:val="21"/>
                <w14:textFill>
                  <w14:solidFill>
                    <w14:schemeClr w14:val="tx1"/>
                  </w14:solidFill>
                </w14:textFill>
              </w:rPr>
              <w:t>七、加大科研投入力度，强化服务社会能力</w:t>
            </w:r>
          </w:p>
        </w:tc>
        <w:tc>
          <w:tcPr>
            <w:tcW w:w="8826" w:type="dxa"/>
            <w:shd w:val="clear" w:color="auto" w:fill="auto"/>
            <w:vAlign w:val="center"/>
          </w:tcPr>
          <w:p>
            <w:pPr>
              <w:pStyle w:val="5"/>
              <w:widowControl w:val="0"/>
              <w:spacing w:before="0" w:beforeAutospacing="0" w:after="0" w:afterAutospacing="0" w:line="360" w:lineRule="exact"/>
              <w:ind w:firstLine="422" w:firstLineChars="200"/>
              <w:jc w:val="both"/>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32.提高科研水平和质量。</w:t>
            </w:r>
            <w:r>
              <w:rPr>
                <w:rFonts w:hint="eastAsia" w:ascii="仿宋" w:hAnsi="仿宋" w:eastAsia="仿宋" w:cs="仿宋"/>
                <w:bCs/>
                <w:color w:val="000000" w:themeColor="text1"/>
                <w:kern w:val="2"/>
                <w:sz w:val="21"/>
                <w:szCs w:val="21"/>
                <w14:textFill>
                  <w14:solidFill>
                    <w14:schemeClr w14:val="tx1"/>
                  </w14:solidFill>
                </w14:textFill>
              </w:rPr>
              <w:t>营造潜心治学、服务教学、推动发展的科研文化氛围，加大科研投入力度，争取更多高层次、高质量、高水平的科研项目和成果。提高学报</w:t>
            </w:r>
            <w:r>
              <w:rPr>
                <w:rFonts w:hint="eastAsia" w:ascii="仿宋" w:hAnsi="仿宋" w:eastAsia="仿宋" w:cs="仿宋"/>
                <w:bCs/>
                <w:color w:val="000000" w:themeColor="text1"/>
                <w:sz w:val="21"/>
                <w:szCs w:val="21"/>
                <w14:textFill>
                  <w14:solidFill>
                    <w14:schemeClr w14:val="tx1"/>
                  </w14:solidFill>
                </w14:textFill>
              </w:rPr>
              <w:t>编辑水平和稿件质量，扩大学报的知名度和影响力。发挥学校人才资源优势，开展“三区人才科技服务”计划。推动学校与政府、行业、企业的科研协作，发挥“周口平原农区发展研究会”、“运河文化暨临港经济”课题组在科技引领、技术服务、创新驱动方面的积极作用。</w:t>
            </w:r>
          </w:p>
        </w:tc>
        <w:tc>
          <w:tcPr>
            <w:tcW w:w="1111"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许永安</w:t>
            </w:r>
          </w:p>
        </w:tc>
        <w:tc>
          <w:tcPr>
            <w:tcW w:w="1746"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科研外事处</w:t>
            </w:r>
          </w:p>
        </w:tc>
        <w:tc>
          <w:tcPr>
            <w:tcW w:w="1433"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adjustRightInd w:val="0"/>
              <w:snapToGrid w:val="0"/>
              <w:spacing w:line="360" w:lineRule="exact"/>
              <w:ind w:firstLine="422" w:firstLineChars="200"/>
              <w:textAlignment w:val="baseline"/>
              <w:rPr>
                <w:rFonts w:ascii="宋体" w:hAnsi="宋体"/>
                <w:b/>
                <w:bCs/>
                <w:color w:val="000000"/>
                <w:kern w:val="0"/>
                <w:sz w:val="24"/>
              </w:rPr>
            </w:pPr>
            <w:r>
              <w:rPr>
                <w:rFonts w:hint="eastAsia" w:ascii="仿宋" w:hAnsi="仿宋" w:eastAsia="仿宋" w:cs="仿宋"/>
                <w:b/>
                <w:bCs/>
                <w:color w:val="000000" w:themeColor="text1"/>
                <w:szCs w:val="21"/>
                <w14:textFill>
                  <w14:solidFill>
                    <w14:schemeClr w14:val="tx1"/>
                  </w14:solidFill>
                </w14:textFill>
              </w:rPr>
              <w:t>33.强</w:t>
            </w:r>
            <w:r>
              <w:rPr>
                <w:rFonts w:hint="eastAsia" w:ascii="仿宋" w:hAnsi="仿宋" w:eastAsia="仿宋" w:cs="仿宋_GB2312"/>
                <w:b/>
                <w:bCs/>
                <w:snapToGrid w:val="0"/>
                <w:color w:val="000000"/>
                <w:szCs w:val="21"/>
              </w:rPr>
              <w:t>化科研服务社会能力。</w:t>
            </w:r>
            <w:r>
              <w:rPr>
                <w:rFonts w:hint="eastAsia" w:ascii="仿宋" w:hAnsi="仿宋" w:eastAsia="仿宋" w:cs="仿宋"/>
                <w:bCs/>
                <w:color w:val="000000" w:themeColor="text1"/>
                <w:szCs w:val="21"/>
                <w14:textFill>
                  <w14:solidFill>
                    <w14:schemeClr w14:val="tx1"/>
                  </w14:solidFill>
                </w14:textFill>
              </w:rPr>
              <w:t>依托国家级和省级实训基地、职业技能鉴定所和周口远程教育中心，大力提升社会服务能力。</w:t>
            </w:r>
          </w:p>
        </w:tc>
        <w:tc>
          <w:tcPr>
            <w:tcW w:w="1111"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许永安</w:t>
            </w:r>
          </w:p>
        </w:tc>
        <w:tc>
          <w:tcPr>
            <w:tcW w:w="1746"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教务处</w:t>
            </w:r>
          </w:p>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科研外事处</w:t>
            </w:r>
          </w:p>
        </w:tc>
        <w:tc>
          <w:tcPr>
            <w:tcW w:w="1433" w:type="dxa"/>
            <w:shd w:val="clear" w:color="auto" w:fill="auto"/>
            <w:vAlign w:val="center"/>
          </w:tcPr>
          <w:p>
            <w:pPr>
              <w:adjustRightInd w:val="0"/>
              <w:snapToGrid w:val="0"/>
              <w:spacing w:line="36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各教学院部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restart"/>
            <w:shd w:val="clear" w:color="auto" w:fill="auto"/>
            <w:vAlign w:val="center"/>
          </w:tcPr>
          <w:p>
            <w:pPr>
              <w:pStyle w:val="5"/>
              <w:widowControl w:val="0"/>
              <w:spacing w:before="0" w:beforeAutospacing="0" w:after="0" w:afterAutospacing="0" w:line="400" w:lineRule="exact"/>
              <w:outlineLvl w:val="0"/>
              <w:rPr>
                <w:color w:val="000000"/>
              </w:rPr>
            </w:pPr>
            <w:r>
              <w:rPr>
                <w:rFonts w:hint="eastAsia" w:ascii="黑体" w:hAnsi="黑体" w:eastAsia="黑体" w:cs="黑体"/>
                <w:bCs/>
                <w:color w:val="000000" w:themeColor="text1"/>
                <w:sz w:val="21"/>
                <w:szCs w:val="21"/>
                <w14:textFill>
                  <w14:solidFill>
                    <w14:schemeClr w14:val="tx1"/>
                  </w14:solidFill>
                </w14:textFill>
              </w:rPr>
              <w:t>八、提高服务保障能力，建设文明和谐校园</w:t>
            </w:r>
          </w:p>
        </w:tc>
        <w:tc>
          <w:tcPr>
            <w:tcW w:w="8826" w:type="dxa"/>
            <w:shd w:val="clear" w:color="auto" w:fill="auto"/>
            <w:vAlign w:val="center"/>
          </w:tcPr>
          <w:p>
            <w:pPr>
              <w:adjustRightInd w:val="0"/>
              <w:snapToGrid w:val="0"/>
              <w:spacing w:line="360" w:lineRule="exact"/>
              <w:ind w:firstLine="422" w:firstLineChars="200"/>
              <w:textAlignment w:val="baseline"/>
              <w:rPr>
                <w:rFonts w:cs="仿宋_GB2312"/>
                <w:snapToGrid w:val="0"/>
                <w:color w:val="000000"/>
              </w:rPr>
            </w:pPr>
            <w:r>
              <w:rPr>
                <w:rFonts w:hint="eastAsia" w:ascii="仿宋" w:hAnsi="仿宋" w:eastAsia="仿宋" w:cs="仿宋"/>
                <w:b/>
                <w:bCs/>
                <w:color w:val="000000" w:themeColor="text1"/>
                <w:szCs w:val="21"/>
                <w14:textFill>
                  <w14:solidFill>
                    <w14:schemeClr w14:val="tx1"/>
                  </w14:solidFill>
                </w14:textFill>
              </w:rPr>
              <w:t>34.做好精准扶贫工作。</w:t>
            </w:r>
            <w:r>
              <w:rPr>
                <w:rFonts w:hint="eastAsia" w:ascii="仿宋" w:hAnsi="仿宋" w:eastAsia="仿宋" w:cs="仿宋"/>
                <w:bCs/>
                <w:color w:val="000000" w:themeColor="text1"/>
                <w:szCs w:val="21"/>
                <w14:textFill>
                  <w14:solidFill>
                    <w14:schemeClr w14:val="tx1"/>
                  </w14:solidFill>
                </w14:textFill>
              </w:rPr>
              <w:t>组织科技、文化、卫生“三下乡”活动，做好对沈丘三大夫营村脱贫后的帮扶致富工作。</w:t>
            </w:r>
          </w:p>
        </w:tc>
        <w:tc>
          <w:tcPr>
            <w:tcW w:w="1111"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赵振然</w:t>
            </w:r>
          </w:p>
        </w:tc>
        <w:tc>
          <w:tcPr>
            <w:tcW w:w="1746"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组织统战部</w:t>
            </w:r>
          </w:p>
        </w:tc>
        <w:tc>
          <w:tcPr>
            <w:tcW w:w="1433" w:type="dxa"/>
            <w:shd w:val="clear" w:color="auto" w:fill="auto"/>
            <w:vAlign w:val="center"/>
          </w:tcPr>
          <w:p>
            <w:pPr>
              <w:adjustRightInd w:val="0"/>
              <w:snapToGrid w:val="0"/>
              <w:spacing w:line="36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adjustRightInd w:val="0"/>
              <w:snapToGrid w:val="0"/>
              <w:spacing w:line="400" w:lineRule="exact"/>
              <w:ind w:left="420" w:leftChars="200"/>
              <w:rPr>
                <w:rFonts w:ascii="宋体" w:hAnsi="宋体" w:cs="黑体"/>
                <w:snapToGrid w:val="0"/>
                <w:color w:val="000000"/>
                <w:kern w:val="0"/>
                <w:sz w:val="24"/>
              </w:rPr>
            </w:pPr>
          </w:p>
        </w:tc>
        <w:tc>
          <w:tcPr>
            <w:tcW w:w="8826" w:type="dxa"/>
            <w:shd w:val="clear" w:color="auto" w:fill="auto"/>
            <w:vAlign w:val="center"/>
          </w:tcPr>
          <w:p>
            <w:pPr>
              <w:pStyle w:val="5"/>
              <w:widowControl w:val="0"/>
              <w:spacing w:before="0" w:beforeAutospacing="0" w:after="0" w:afterAutospacing="0" w:line="360" w:lineRule="exact"/>
              <w:ind w:firstLine="422" w:firstLineChars="200"/>
              <w:jc w:val="both"/>
              <w:rPr>
                <w:rFonts w:cs="仿宋_GB2312"/>
                <w:b/>
                <w:snapToGrid w:val="0"/>
                <w:color w:val="000000"/>
                <w:shd w:val="clear" w:color="auto" w:fill="FFFFFF"/>
              </w:rPr>
            </w:pPr>
            <w:r>
              <w:rPr>
                <w:rFonts w:hint="eastAsia" w:ascii="仿宋" w:hAnsi="仿宋" w:eastAsia="仿宋" w:cs="仿宋"/>
                <w:b/>
                <w:bCs/>
                <w:color w:val="000000" w:themeColor="text1"/>
                <w:sz w:val="21"/>
                <w:szCs w:val="21"/>
                <w14:textFill>
                  <w14:solidFill>
                    <w14:schemeClr w14:val="tx1"/>
                  </w14:solidFill>
                </w14:textFill>
              </w:rPr>
              <w:t>35.</w:t>
            </w:r>
            <w:r>
              <w:rPr>
                <w:rFonts w:hint="eastAsia" w:ascii="仿宋" w:hAnsi="仿宋" w:eastAsia="仿宋" w:cs="仿宋"/>
                <w:b/>
                <w:color w:val="000000" w:themeColor="text1"/>
                <w:sz w:val="21"/>
                <w:szCs w:val="21"/>
                <w14:textFill>
                  <w14:solidFill>
                    <w14:schemeClr w14:val="tx1"/>
                  </w14:solidFill>
                </w14:textFill>
              </w:rPr>
              <w:t>加快智慧校园建设。</w:t>
            </w:r>
            <w:r>
              <w:rPr>
                <w:rFonts w:hint="eastAsia" w:ascii="仿宋" w:hAnsi="仿宋" w:eastAsia="仿宋" w:cs="仿宋"/>
                <w:bCs/>
                <w:color w:val="000000" w:themeColor="text1"/>
                <w:sz w:val="21"/>
                <w:szCs w:val="21"/>
                <w14:textFill>
                  <w14:solidFill>
                    <w14:schemeClr w14:val="tx1"/>
                  </w14:solidFill>
                </w14:textFill>
              </w:rPr>
              <w:t>筹建完成信息化管理中心建设。加强基础网络设施建设与管理，实施“一张网”工程。加强数据资产管理与网络信息</w:t>
            </w:r>
            <w:r>
              <w:fldChar w:fldCharType="begin"/>
            </w:r>
            <w:r>
              <w:instrText xml:space="preserve"> HYPERLINK "http://rj.5ykj.com/" \t "_blank" </w:instrText>
            </w:r>
            <w:r>
              <w:fldChar w:fldCharType="separate"/>
            </w:r>
            <w:r>
              <w:rPr>
                <w:rStyle w:val="11"/>
                <w:rFonts w:hint="eastAsia" w:ascii="仿宋" w:hAnsi="仿宋" w:eastAsia="仿宋" w:cs="仿宋"/>
                <w:bCs/>
                <w:color w:val="000000" w:themeColor="text1"/>
                <w:sz w:val="21"/>
                <w:szCs w:val="21"/>
                <w14:textFill>
                  <w14:solidFill>
                    <w14:schemeClr w14:val="tx1"/>
                  </w14:solidFill>
                </w14:textFill>
              </w:rPr>
              <w:t>安全</w:t>
            </w:r>
            <w:r>
              <w:rPr>
                <w:rStyle w:val="11"/>
                <w:rFonts w:hint="eastAsia" w:ascii="仿宋" w:hAnsi="仿宋" w:eastAsia="仿宋" w:cs="仿宋"/>
                <w:bCs/>
                <w:color w:val="000000" w:themeColor="text1"/>
                <w:sz w:val="21"/>
                <w:szCs w:val="21"/>
                <w14:textFill>
                  <w14:solidFill>
                    <w14:schemeClr w14:val="tx1"/>
                  </w14:solidFill>
                </w14:textFill>
              </w:rPr>
              <w:fldChar w:fldCharType="end"/>
            </w:r>
            <w:r>
              <w:rPr>
                <w:rFonts w:hint="eastAsia" w:ascii="仿宋" w:hAnsi="仿宋" w:eastAsia="仿宋" w:cs="仿宋"/>
                <w:bCs/>
                <w:color w:val="000000" w:themeColor="text1"/>
                <w:sz w:val="21"/>
                <w:szCs w:val="21"/>
                <w14:textFill>
                  <w14:solidFill>
                    <w14:schemeClr w14:val="tx1"/>
                  </w14:solidFill>
                </w14:textFill>
              </w:rPr>
              <w:t>防控工作，实施信息系统网络安全等级认定。建成投用办公自动化系统，提高办公效率。</w:t>
            </w:r>
          </w:p>
        </w:tc>
        <w:tc>
          <w:tcPr>
            <w:tcW w:w="1111"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许永安</w:t>
            </w:r>
          </w:p>
        </w:tc>
        <w:tc>
          <w:tcPr>
            <w:tcW w:w="1746"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信息化管理中心</w:t>
            </w:r>
          </w:p>
        </w:tc>
        <w:tc>
          <w:tcPr>
            <w:tcW w:w="1433" w:type="dxa"/>
            <w:shd w:val="clear" w:color="auto" w:fill="auto"/>
            <w:vAlign w:val="center"/>
          </w:tcPr>
          <w:p>
            <w:pPr>
              <w:adjustRightInd w:val="0"/>
              <w:snapToGrid w:val="0"/>
              <w:spacing w:line="360" w:lineRule="exact"/>
              <w:jc w:val="center"/>
              <w:rPr>
                <w:rFonts w:ascii="宋体" w:hAnsi="宋体" w:cs="仿宋_GB2312"/>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8" w:hRule="atLeast"/>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360" w:lineRule="exact"/>
              <w:ind w:firstLine="422" w:firstLineChars="200"/>
              <w:jc w:val="both"/>
              <w:rPr>
                <w:rFonts w:cs="仿宋_GB2312"/>
                <w:b/>
                <w:snapToGrid w:val="0"/>
                <w:color w:val="000000"/>
                <w:shd w:val="clear" w:color="auto" w:fill="FFFFFF"/>
              </w:rPr>
            </w:pPr>
            <w:r>
              <w:rPr>
                <w:rFonts w:hint="eastAsia" w:ascii="仿宋" w:hAnsi="仿宋" w:eastAsia="仿宋" w:cs="仿宋"/>
                <w:b/>
                <w:bCs/>
                <w:color w:val="000000" w:themeColor="text1"/>
                <w:sz w:val="21"/>
                <w:szCs w:val="21"/>
                <w14:textFill>
                  <w14:solidFill>
                    <w14:schemeClr w14:val="tx1"/>
                  </w14:solidFill>
                </w14:textFill>
              </w:rPr>
              <w:t>36.</w:t>
            </w:r>
            <w:r>
              <w:rPr>
                <w:rFonts w:hint="eastAsia" w:ascii="仿宋" w:hAnsi="仿宋" w:eastAsia="仿宋" w:cs="仿宋"/>
                <w:b/>
                <w:color w:val="000000" w:themeColor="text1"/>
                <w:sz w:val="21"/>
                <w:szCs w:val="21"/>
                <w14:textFill>
                  <w14:solidFill>
                    <w14:schemeClr w14:val="tx1"/>
                  </w14:solidFill>
                </w14:textFill>
              </w:rPr>
              <w:t>加强宣传和校园文化建设。</w:t>
            </w:r>
            <w:r>
              <w:rPr>
                <w:rFonts w:hint="eastAsia" w:ascii="仿宋" w:hAnsi="仿宋" w:eastAsia="仿宋" w:cs="仿宋"/>
                <w:bCs/>
                <w:color w:val="000000" w:themeColor="text1"/>
                <w:sz w:val="21"/>
                <w:szCs w:val="21"/>
                <w14:textFill>
                  <w14:solidFill>
                    <w14:schemeClr w14:val="tx1"/>
                  </w14:solidFill>
                </w14:textFill>
              </w:rPr>
              <w:t>推进新媒体建设，加强学校门户网站和官方微博等新媒体的建设与管理。深化新闻宣传工作，着力提升对外宣传质量和水平。</w:t>
            </w:r>
            <w:r>
              <w:rPr>
                <w:rFonts w:hint="eastAsia" w:ascii="仿宋" w:hAnsi="仿宋" w:eastAsia="仿宋" w:cs="仿宋"/>
                <w:bCs/>
                <w:color w:val="000000" w:themeColor="text1"/>
                <w:kern w:val="2"/>
                <w:sz w:val="21"/>
                <w:szCs w:val="21"/>
                <w14:textFill>
                  <w14:solidFill>
                    <w14:schemeClr w14:val="tx1"/>
                  </w14:solidFill>
                </w14:textFill>
              </w:rPr>
              <w:t>开展“经典照亮人生”优秀传统文化诵读大赛，举办“知行大讲堂”，打造开元周职知行讲堂品牌、文昌周职文化品牌和书香周职阅读品牌“三大周职品牌”，推出一批在省内有影响力的校园文化精品，营造体现时代特征、学校特色的校园文化氛围和良好育人环境。</w:t>
            </w:r>
          </w:p>
        </w:tc>
        <w:tc>
          <w:tcPr>
            <w:tcW w:w="1111"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赵振然</w:t>
            </w:r>
          </w:p>
          <w:p>
            <w:pPr>
              <w:adjustRightInd w:val="0"/>
              <w:snapToGrid w:val="0"/>
              <w:spacing w:line="360" w:lineRule="exact"/>
              <w:jc w:val="center"/>
              <w:rPr>
                <w:rFonts w:ascii="宋体" w:hAnsi="宋体" w:cs="仿宋_GB2312"/>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李森</w:t>
            </w:r>
          </w:p>
        </w:tc>
        <w:tc>
          <w:tcPr>
            <w:tcW w:w="1746"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宣传部</w:t>
            </w:r>
          </w:p>
          <w:p>
            <w:pPr>
              <w:adjustRightInd w:val="0"/>
              <w:snapToGrid w:val="0"/>
              <w:spacing w:line="360" w:lineRule="exact"/>
              <w:jc w:val="center"/>
              <w:rPr>
                <w:rFonts w:ascii="宋体" w:hAnsi="宋体" w:cs="仿宋_GB2312"/>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学生处</w:t>
            </w:r>
          </w:p>
        </w:tc>
        <w:tc>
          <w:tcPr>
            <w:tcW w:w="1433" w:type="dxa"/>
            <w:shd w:val="clear" w:color="auto" w:fill="auto"/>
            <w:vAlign w:val="center"/>
          </w:tcPr>
          <w:p>
            <w:pPr>
              <w:adjustRightInd w:val="0"/>
              <w:snapToGrid w:val="0"/>
              <w:spacing w:line="360" w:lineRule="exact"/>
              <w:jc w:val="center"/>
              <w:rPr>
                <w:rFonts w:ascii="宋体" w:hAnsi="宋体" w:cs="仿宋_GB2312"/>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360" w:lineRule="exact"/>
              <w:ind w:firstLine="422" w:firstLineChars="200"/>
              <w:jc w:val="both"/>
              <w:rPr>
                <w:b/>
                <w:bCs/>
                <w:color w:val="000000"/>
              </w:rPr>
            </w:pPr>
            <w:r>
              <w:rPr>
                <w:rFonts w:hint="eastAsia" w:ascii="仿宋" w:hAnsi="仿宋" w:eastAsia="仿宋" w:cs="仿宋"/>
                <w:b/>
                <w:bCs/>
                <w:color w:val="000000" w:themeColor="text1"/>
                <w:sz w:val="21"/>
                <w:szCs w:val="21"/>
                <w14:textFill>
                  <w14:solidFill>
                    <w14:schemeClr w14:val="tx1"/>
                  </w14:solidFill>
                </w14:textFill>
              </w:rPr>
              <w:t>37.提升精神文明建设水平。</w:t>
            </w:r>
            <w:r>
              <w:rPr>
                <w:rFonts w:hint="eastAsia" w:ascii="仿宋" w:hAnsi="仿宋" w:eastAsia="仿宋" w:cs="仿宋"/>
                <w:bCs/>
                <w:color w:val="000000" w:themeColor="text1"/>
                <w:sz w:val="21"/>
                <w:szCs w:val="21"/>
                <w14:textFill>
                  <w14:solidFill>
                    <w14:schemeClr w14:val="tx1"/>
                  </w14:solidFill>
                </w14:textFill>
              </w:rPr>
              <w:t>以提升学校的软实力为宗旨，以创建全国文明校园为目标，推进完善整体推进机制、目标责任机制、考评奖励机制、榜样示范机制、投入保障机制。开展社会公益活动，助力周口市“五城联创”工作。推进文明有礼培育工程，深化诚信教育创建活动。</w:t>
            </w:r>
            <w:r>
              <w:rPr>
                <w:rFonts w:ascii="仿宋" w:hAnsi="仿宋" w:eastAsia="仿宋" w:cs="仿宋"/>
                <w:bCs/>
                <w:color w:val="000000" w:themeColor="text1"/>
                <w:sz w:val="21"/>
                <w:szCs w:val="21"/>
                <w14:textFill>
                  <w14:solidFill>
                    <w14:schemeClr w14:val="tx1"/>
                  </w14:solidFill>
                </w14:textFill>
              </w:rPr>
              <w:t>弘扬高尚师德师风</w:t>
            </w:r>
            <w:r>
              <w:rPr>
                <w:rFonts w:hint="eastAsia" w:ascii="仿宋" w:hAnsi="仿宋" w:eastAsia="仿宋" w:cs="仿宋"/>
                <w:bCs/>
                <w:color w:val="000000" w:themeColor="text1"/>
                <w:sz w:val="21"/>
                <w:szCs w:val="21"/>
                <w14:textFill>
                  <w14:solidFill>
                    <w14:schemeClr w14:val="tx1"/>
                  </w14:solidFill>
                </w14:textFill>
              </w:rPr>
              <w:t>，开展优秀教师、文明教师、“两创两争”、“学雷锋”先进集体和个人等评选活动，</w:t>
            </w:r>
            <w:r>
              <w:rPr>
                <w:rFonts w:ascii="仿宋" w:hAnsi="仿宋" w:eastAsia="仿宋" w:cs="仿宋"/>
                <w:bCs/>
                <w:color w:val="000000" w:themeColor="text1"/>
                <w:sz w:val="21"/>
                <w:szCs w:val="21"/>
                <w14:textFill>
                  <w14:solidFill>
                    <w14:schemeClr w14:val="tx1"/>
                  </w14:solidFill>
                </w14:textFill>
              </w:rPr>
              <w:t>营造重德养德、尊师重教的浓厚氛围</w:t>
            </w:r>
            <w:r>
              <w:rPr>
                <w:rFonts w:hint="eastAsia" w:ascii="仿宋" w:hAnsi="仿宋" w:eastAsia="仿宋" w:cs="仿宋"/>
                <w:bCs/>
                <w:color w:val="000000" w:themeColor="text1"/>
                <w:sz w:val="21"/>
                <w:szCs w:val="21"/>
                <w14:textFill>
                  <w14:solidFill>
                    <w14:schemeClr w14:val="tx1"/>
                  </w14:solidFill>
                </w14:textFill>
              </w:rPr>
              <w:t>。</w:t>
            </w:r>
          </w:p>
        </w:tc>
        <w:tc>
          <w:tcPr>
            <w:tcW w:w="1111"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赵振然</w:t>
            </w:r>
          </w:p>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李森</w:t>
            </w:r>
          </w:p>
        </w:tc>
        <w:tc>
          <w:tcPr>
            <w:tcW w:w="1746"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宣传部</w:t>
            </w:r>
          </w:p>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学生处</w:t>
            </w:r>
          </w:p>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团委</w:t>
            </w:r>
          </w:p>
        </w:tc>
        <w:tc>
          <w:tcPr>
            <w:tcW w:w="1433" w:type="dxa"/>
            <w:shd w:val="clear" w:color="auto" w:fill="auto"/>
            <w:vAlign w:val="center"/>
          </w:tcPr>
          <w:p>
            <w:pPr>
              <w:adjustRightInd w:val="0"/>
              <w:snapToGrid w:val="0"/>
              <w:spacing w:line="36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tabs>
                <w:tab w:val="center" w:pos="4153"/>
              </w:tabs>
              <w:spacing w:line="360" w:lineRule="exact"/>
              <w:ind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38.</w:t>
            </w:r>
            <w:r>
              <w:rPr>
                <w:rFonts w:hint="eastAsia" w:ascii="仿宋" w:hAnsi="仿宋" w:eastAsia="仿宋"/>
                <w:b/>
                <w:bCs/>
                <w:color w:val="000000"/>
                <w:kern w:val="0"/>
                <w:szCs w:val="21"/>
              </w:rPr>
              <w:t>做好计划财务工作。</w:t>
            </w:r>
            <w:r>
              <w:rPr>
                <w:rFonts w:hint="eastAsia" w:ascii="仿宋" w:hAnsi="仿宋" w:eastAsia="仿宋" w:cs="仿宋"/>
                <w:bCs/>
                <w:color w:val="000000" w:themeColor="text1"/>
                <w:szCs w:val="21"/>
                <w14:textFill>
                  <w14:solidFill>
                    <w14:schemeClr w14:val="tx1"/>
                  </w14:solidFill>
                </w14:textFill>
              </w:rPr>
              <w:t>严肃财经纪律，提升财务管理质量。依法多渠道筹措办学经费，争取国家和省、市财政资金支持。配合审计局完成在线实时联网审计建设工作。加强专项资金的使用管理，督促各项目部门完善绩效考核。加快财务信息化建设，强化预算管理与控制，提高资金使用效益，更好地为学校建设发展服务。完善招投标制度，防控廉政风险。</w:t>
            </w:r>
          </w:p>
        </w:tc>
        <w:tc>
          <w:tcPr>
            <w:tcW w:w="1111"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许永安</w:t>
            </w:r>
          </w:p>
        </w:tc>
        <w:tc>
          <w:tcPr>
            <w:tcW w:w="1746"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财务处</w:t>
            </w:r>
          </w:p>
        </w:tc>
        <w:tc>
          <w:tcPr>
            <w:tcW w:w="1433"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360" w:lineRule="exact"/>
              <w:ind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39.</w:t>
            </w:r>
            <w:r>
              <w:rPr>
                <w:rFonts w:hint="eastAsia" w:ascii="仿宋" w:hAnsi="仿宋" w:eastAsia="仿宋" w:cs="仿宋"/>
                <w:b/>
                <w:color w:val="000000" w:themeColor="text1"/>
                <w:sz w:val="21"/>
                <w:szCs w:val="21"/>
                <w14:textFill>
                  <w14:solidFill>
                    <w14:schemeClr w14:val="tx1"/>
                  </w14:solidFill>
                </w14:textFill>
              </w:rPr>
              <w:t>完善图书馆育人功能。</w:t>
            </w:r>
            <w:r>
              <w:rPr>
                <w:rFonts w:hint="eastAsia" w:ascii="仿宋" w:hAnsi="仿宋" w:eastAsia="仿宋" w:cs="仿宋"/>
                <w:bCs/>
                <w:color w:val="000000" w:themeColor="text1"/>
                <w:sz w:val="21"/>
                <w:szCs w:val="21"/>
                <w14:textFill>
                  <w14:solidFill>
                    <w14:schemeClr w14:val="tx1"/>
                  </w14:solidFill>
                </w14:textFill>
              </w:rPr>
              <w:t>完善优化图书馆文献资源体系，计划采购30万册纸质图书，做好电子资源相关续订、增减等工作，达到生均图书与优质校建设向适应。开展读书推广活动，发挥图书馆服务育人、环境育人的职能，培育浓厚的校园读书环境。</w:t>
            </w:r>
          </w:p>
        </w:tc>
        <w:tc>
          <w:tcPr>
            <w:tcW w:w="1111" w:type="dxa"/>
            <w:shd w:val="clear" w:color="auto" w:fill="auto"/>
            <w:vAlign w:val="center"/>
          </w:tcPr>
          <w:p>
            <w:pPr>
              <w:spacing w:line="36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李庶泉</w:t>
            </w:r>
          </w:p>
        </w:tc>
        <w:tc>
          <w:tcPr>
            <w:tcW w:w="1746" w:type="dxa"/>
            <w:shd w:val="clear" w:color="auto" w:fill="auto"/>
            <w:vAlign w:val="center"/>
          </w:tcPr>
          <w:p>
            <w:pPr>
              <w:adjustRightInd w:val="0"/>
              <w:snapToGrid w:val="0"/>
              <w:spacing w:line="360" w:lineRule="exact"/>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图书馆</w:t>
            </w:r>
          </w:p>
        </w:tc>
        <w:tc>
          <w:tcPr>
            <w:tcW w:w="1433" w:type="dxa"/>
            <w:shd w:val="clear" w:color="auto" w:fill="auto"/>
            <w:vAlign w:val="center"/>
          </w:tcPr>
          <w:p>
            <w:pPr>
              <w:spacing w:line="360" w:lineRule="exact"/>
              <w:jc w:val="center"/>
              <w:rPr>
                <w:rFonts w:ascii="宋体" w:hAnsi="宋体" w:cs="仿宋_GB2312"/>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spacing w:line="360" w:lineRule="exact"/>
              <w:ind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b/>
                <w:snapToGrid w:val="0"/>
                <w:color w:val="000000"/>
                <w:kern w:val="0"/>
                <w:szCs w:val="21"/>
              </w:rPr>
              <w:t>40.谋划办好附属医院。</w:t>
            </w:r>
            <w:r>
              <w:rPr>
                <w:rFonts w:hint="eastAsia" w:ascii="仿宋" w:hAnsi="仿宋" w:eastAsia="仿宋" w:cs="仿宋"/>
                <w:bCs/>
                <w:color w:val="000000" w:themeColor="text1"/>
                <w:szCs w:val="21"/>
                <w14:textFill>
                  <w14:solidFill>
                    <w14:schemeClr w14:val="tx1"/>
                  </w14:solidFill>
                </w14:textFill>
              </w:rPr>
              <w:t>引进社会资本，实施附属医院股份制改造。加强医院内部管理，强化医德医风建设，改善医疗条件，开拓医疗市场，提升医疗服务质量，发挥社区卫生服务中心作用，满足医疗卫生服务、教学科研和医学实习实训需求。推进医教协同发展，建立健全医学院与附院的合作育人机制，促进教育教学内容与临床技术技能同步更新。</w:t>
            </w:r>
          </w:p>
        </w:tc>
        <w:tc>
          <w:tcPr>
            <w:tcW w:w="1111" w:type="dxa"/>
            <w:shd w:val="clear" w:color="auto" w:fill="auto"/>
            <w:vAlign w:val="center"/>
          </w:tcPr>
          <w:p>
            <w:pPr>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李清臣</w:t>
            </w:r>
          </w:p>
        </w:tc>
        <w:tc>
          <w:tcPr>
            <w:tcW w:w="1746"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附属医院</w:t>
            </w:r>
          </w:p>
        </w:tc>
        <w:tc>
          <w:tcPr>
            <w:tcW w:w="1433" w:type="dxa"/>
            <w:shd w:val="clear" w:color="auto" w:fill="auto"/>
            <w:vAlign w:val="center"/>
          </w:tcPr>
          <w:p>
            <w:pPr>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360" w:lineRule="exact"/>
              <w:ind w:firstLine="422" w:firstLineChars="200"/>
              <w:jc w:val="both"/>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41.做好后勤服务与管理。</w:t>
            </w:r>
            <w:r>
              <w:rPr>
                <w:rFonts w:hint="eastAsia" w:ascii="仿宋" w:hAnsi="仿宋" w:eastAsia="仿宋" w:cs="仿宋"/>
                <w:bCs/>
                <w:color w:val="000000" w:themeColor="text1"/>
                <w:sz w:val="21"/>
                <w:szCs w:val="21"/>
                <w14:textFill>
                  <w14:solidFill>
                    <w14:schemeClr w14:val="tx1"/>
                  </w14:solidFill>
                </w14:textFill>
              </w:rPr>
              <w:t>按照管理与服务工作精细化的要求，提高后勤服务水平和质量。落实节能减排工作要求，加强水电管理，推进节约型校园建设。加强学生宿舍、饮食安全管理，做好校园卫生保洁、环境美化和基础设施维修等工作。完善国有资产管理制度，规范处理待报废资产，做好资产清查后续工作和资产核实工作。</w:t>
            </w:r>
          </w:p>
        </w:tc>
        <w:tc>
          <w:tcPr>
            <w:tcW w:w="1111" w:type="dxa"/>
            <w:shd w:val="clear" w:color="auto" w:fill="auto"/>
            <w:vAlign w:val="center"/>
          </w:tcPr>
          <w:p>
            <w:pPr>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黄增福</w:t>
            </w:r>
          </w:p>
        </w:tc>
        <w:tc>
          <w:tcPr>
            <w:tcW w:w="1746"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后勤管理处</w:t>
            </w:r>
          </w:p>
        </w:tc>
        <w:tc>
          <w:tcPr>
            <w:tcW w:w="1433" w:type="dxa"/>
            <w:shd w:val="clear" w:color="auto" w:fill="auto"/>
            <w:vAlign w:val="center"/>
          </w:tcPr>
          <w:p>
            <w:pPr>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360" w:lineRule="exact"/>
              <w:ind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42.</w:t>
            </w:r>
            <w:r>
              <w:rPr>
                <w:rFonts w:hint="eastAsia" w:ascii="仿宋" w:hAnsi="仿宋" w:eastAsia="仿宋"/>
                <w:b/>
                <w:bCs/>
                <w:color w:val="000000"/>
                <w:sz w:val="21"/>
                <w:szCs w:val="21"/>
              </w:rPr>
              <w:t>加大督查督办力度。</w:t>
            </w:r>
            <w:r>
              <w:rPr>
                <w:rFonts w:hint="eastAsia" w:ascii="仿宋" w:hAnsi="仿宋" w:eastAsia="仿宋" w:cs="仿宋"/>
                <w:bCs/>
                <w:color w:val="000000" w:themeColor="text1"/>
                <w:kern w:val="2"/>
                <w:sz w:val="21"/>
                <w:szCs w:val="21"/>
                <w14:textFill>
                  <w14:solidFill>
                    <w14:schemeClr w14:val="tx1"/>
                  </w14:solidFill>
                </w14:textFill>
              </w:rPr>
              <w:t>强化明察暗访和执纪问责，加强学校党委重大决策部署的贯彻落实、重要工作进展完成情况的督促检查，抓好校内热点难点焦点问题的督办工作，做好校领导批示的专项工作督查工作，形成齐抓共管、联动互促、稳步推进的工作局面。</w:t>
            </w:r>
          </w:p>
        </w:tc>
        <w:tc>
          <w:tcPr>
            <w:tcW w:w="1111" w:type="dxa"/>
            <w:shd w:val="clear" w:color="auto" w:fill="auto"/>
            <w:vAlign w:val="center"/>
          </w:tcPr>
          <w:p>
            <w:pPr>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唐永宾</w:t>
            </w:r>
          </w:p>
        </w:tc>
        <w:tc>
          <w:tcPr>
            <w:tcW w:w="1746" w:type="dxa"/>
            <w:shd w:val="clear" w:color="auto" w:fill="auto"/>
            <w:vAlign w:val="center"/>
          </w:tcPr>
          <w:p>
            <w:pPr>
              <w:adjustRightInd w:val="0"/>
              <w:snapToGrid w:val="0"/>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纪委</w:t>
            </w:r>
          </w:p>
        </w:tc>
        <w:tc>
          <w:tcPr>
            <w:tcW w:w="1433" w:type="dxa"/>
            <w:shd w:val="clear" w:color="auto" w:fill="auto"/>
            <w:vAlign w:val="center"/>
          </w:tcPr>
          <w:p>
            <w:pPr>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360" w:lineRule="exact"/>
              <w:ind w:firstLine="422" w:firstLineChars="200"/>
              <w:jc w:val="both"/>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43.确保校园和谐稳定。</w:t>
            </w:r>
            <w:r>
              <w:rPr>
                <w:rFonts w:ascii="仿宋" w:hAnsi="仿宋" w:eastAsia="仿宋" w:cs="仿宋"/>
                <w:bCs/>
                <w:color w:val="000000" w:themeColor="text1"/>
                <w:kern w:val="2"/>
                <w:sz w:val="21"/>
                <w:szCs w:val="21"/>
                <w14:textFill>
                  <w14:solidFill>
                    <w14:schemeClr w14:val="tx1"/>
                  </w14:solidFill>
                </w14:textFill>
              </w:rPr>
              <w:t>加强消防、校舍、食品卫生、危险化学品安全管理，做好防溺水、校园欺凌、电气火灾等专项治理，扎实推进平安校园创建活动。</w:t>
            </w:r>
            <w:r>
              <w:rPr>
                <w:rFonts w:hint="eastAsia" w:ascii="仿宋" w:hAnsi="仿宋" w:eastAsia="仿宋" w:cs="仿宋"/>
                <w:bCs/>
                <w:color w:val="000000" w:themeColor="text1"/>
                <w:kern w:val="2"/>
                <w:sz w:val="21"/>
                <w:szCs w:val="21"/>
                <w14:textFill>
                  <w14:solidFill>
                    <w14:schemeClr w14:val="tx1"/>
                  </w14:solidFill>
                </w14:textFill>
              </w:rPr>
              <w:t>开展法制宣传教育活动，</w:t>
            </w:r>
            <w:r>
              <w:rPr>
                <w:rFonts w:ascii="仿宋" w:hAnsi="仿宋" w:eastAsia="仿宋" w:cs="仿宋"/>
                <w:bCs/>
                <w:color w:val="000000" w:themeColor="text1"/>
                <w:kern w:val="2"/>
                <w:sz w:val="21"/>
                <w:szCs w:val="21"/>
                <w14:textFill>
                  <w14:solidFill>
                    <w14:schemeClr w14:val="tx1"/>
                  </w14:solidFill>
                </w14:textFill>
              </w:rPr>
              <w:t>全面提升师生的法治意识</w:t>
            </w:r>
            <w:r>
              <w:rPr>
                <w:rFonts w:hint="eastAsia" w:ascii="仿宋" w:hAnsi="仿宋" w:eastAsia="仿宋" w:cs="仿宋"/>
                <w:bCs/>
                <w:color w:val="000000" w:themeColor="text1"/>
                <w:kern w:val="2"/>
                <w:sz w:val="21"/>
                <w:szCs w:val="21"/>
                <w14:textFill>
                  <w14:solidFill>
                    <w14:schemeClr w14:val="tx1"/>
                  </w14:solidFill>
                </w14:textFill>
              </w:rPr>
              <w:t>。</w:t>
            </w:r>
            <w:r>
              <w:rPr>
                <w:rFonts w:hint="eastAsia" w:ascii="仿宋" w:hAnsi="仿宋" w:eastAsia="仿宋" w:cs="仿宋"/>
                <w:bCs/>
                <w:color w:val="000000" w:themeColor="text1"/>
                <w:sz w:val="21"/>
                <w:szCs w:val="21"/>
                <w14:textFill>
                  <w14:solidFill>
                    <w14:schemeClr w14:val="tx1"/>
                  </w14:solidFill>
                </w14:textFill>
              </w:rPr>
              <w:t>做好大学生征兵服役、拥军拥属等专项工作。</w:t>
            </w:r>
          </w:p>
        </w:tc>
        <w:tc>
          <w:tcPr>
            <w:tcW w:w="1111" w:type="dxa"/>
            <w:shd w:val="clear" w:color="auto" w:fill="auto"/>
            <w:vAlign w:val="center"/>
          </w:tcPr>
          <w:p>
            <w:pPr>
              <w:spacing w:line="360" w:lineRule="exact"/>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李森</w:t>
            </w:r>
          </w:p>
          <w:p>
            <w:pPr>
              <w:spacing w:line="36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黄增福</w:t>
            </w:r>
          </w:p>
        </w:tc>
        <w:tc>
          <w:tcPr>
            <w:tcW w:w="1746" w:type="dxa"/>
            <w:shd w:val="clear" w:color="auto" w:fill="auto"/>
            <w:vAlign w:val="center"/>
          </w:tcPr>
          <w:p>
            <w:pPr>
              <w:adjustRightInd w:val="0"/>
              <w:snapToGrid w:val="0"/>
              <w:spacing w:line="360" w:lineRule="exact"/>
              <w:ind w:firstLine="42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学生处</w:t>
            </w:r>
          </w:p>
          <w:p>
            <w:pPr>
              <w:adjustRightInd w:val="0"/>
              <w:snapToGrid w:val="0"/>
              <w:spacing w:line="360" w:lineRule="exact"/>
              <w:jc w:val="center"/>
              <w:rPr>
                <w:rFonts w:ascii="宋体" w:hAnsi="宋体" w:cs="仿宋_GB2312"/>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保卫处</w:t>
            </w:r>
          </w:p>
        </w:tc>
        <w:tc>
          <w:tcPr>
            <w:tcW w:w="1433" w:type="dxa"/>
            <w:shd w:val="clear" w:color="auto" w:fill="auto"/>
            <w:vAlign w:val="center"/>
          </w:tcPr>
          <w:p>
            <w:pPr>
              <w:spacing w:line="360" w:lineRule="exact"/>
              <w:jc w:val="center"/>
              <w:rPr>
                <w:rFonts w:ascii="宋体" w:hAnsi="宋体" w:cs="仿宋_GB2312"/>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各院部处室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6" w:type="dxa"/>
            <w:vMerge w:val="continue"/>
            <w:shd w:val="clear" w:color="auto" w:fill="auto"/>
          </w:tcPr>
          <w:p>
            <w:pPr>
              <w:spacing w:line="400" w:lineRule="exact"/>
              <w:rPr>
                <w:color w:val="000000"/>
              </w:rPr>
            </w:pPr>
          </w:p>
        </w:tc>
        <w:tc>
          <w:tcPr>
            <w:tcW w:w="8826" w:type="dxa"/>
            <w:shd w:val="clear" w:color="auto" w:fill="auto"/>
            <w:vAlign w:val="center"/>
          </w:tcPr>
          <w:p>
            <w:pPr>
              <w:pStyle w:val="5"/>
              <w:widowControl w:val="0"/>
              <w:spacing w:before="0" w:beforeAutospacing="0" w:after="0" w:afterAutospacing="0" w:line="360" w:lineRule="exact"/>
              <w:ind w:firstLine="422" w:firstLineChars="200"/>
              <w:jc w:val="both"/>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44.做好信访、保密、档案管理等工作。</w:t>
            </w:r>
          </w:p>
        </w:tc>
        <w:tc>
          <w:tcPr>
            <w:tcW w:w="1111" w:type="dxa"/>
            <w:shd w:val="clear" w:color="auto" w:fill="auto"/>
            <w:vAlign w:val="center"/>
          </w:tcPr>
          <w:p>
            <w:pPr>
              <w:spacing w:line="360" w:lineRule="exact"/>
              <w:jc w:val="center"/>
              <w:rPr>
                <w:rFonts w:ascii="宋体" w:hAnsi="宋体"/>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赵振然</w:t>
            </w:r>
          </w:p>
        </w:tc>
        <w:tc>
          <w:tcPr>
            <w:tcW w:w="1746" w:type="dxa"/>
            <w:shd w:val="clear" w:color="auto" w:fill="auto"/>
            <w:vAlign w:val="center"/>
          </w:tcPr>
          <w:p>
            <w:pPr>
              <w:adjustRightInd w:val="0"/>
              <w:snapToGrid w:val="0"/>
              <w:spacing w:line="360" w:lineRule="exact"/>
              <w:jc w:val="center"/>
              <w:rPr>
                <w:rFonts w:ascii="宋体" w:hAnsi="宋体" w:cs="仿宋_GB2312"/>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党政办公室</w:t>
            </w:r>
          </w:p>
        </w:tc>
        <w:tc>
          <w:tcPr>
            <w:tcW w:w="1433" w:type="dxa"/>
            <w:shd w:val="clear" w:color="auto" w:fill="auto"/>
            <w:vAlign w:val="center"/>
          </w:tcPr>
          <w:p>
            <w:pPr>
              <w:spacing w:line="360" w:lineRule="exact"/>
              <w:jc w:val="center"/>
              <w:rPr>
                <w:rFonts w:ascii="宋体" w:hAnsi="宋体" w:cs="仿宋_GB2312"/>
                <w:snapToGrid w:val="0"/>
                <w:color w:val="000000"/>
                <w:kern w:val="0"/>
                <w:sz w:val="24"/>
              </w:rPr>
            </w:pPr>
            <w:r>
              <w:rPr>
                <w:rFonts w:hint="eastAsia" w:ascii="仿宋" w:hAnsi="仿宋" w:eastAsia="仿宋" w:cs="仿宋"/>
                <w:bCs/>
                <w:color w:val="000000" w:themeColor="text1"/>
                <w:szCs w:val="21"/>
                <w14:textFill>
                  <w14:solidFill>
                    <w14:schemeClr w14:val="tx1"/>
                  </w14:solidFill>
                </w14:textFill>
              </w:rPr>
              <w:t>各院部处室</w:t>
            </w:r>
          </w:p>
        </w:tc>
      </w:tr>
    </w:tbl>
    <w:p>
      <w:pPr>
        <w:spacing w:line="580" w:lineRule="exact"/>
        <w:rPr>
          <w:rFonts w:ascii="仿宋_GB2312" w:hAnsi="新宋体" w:eastAsia="仿宋_GB2312" w:cs="宋体"/>
          <w:b/>
          <w:color w:val="000000"/>
          <w:kern w:val="0"/>
          <w:sz w:val="32"/>
          <w:szCs w:val="32"/>
        </w:rPr>
      </w:pPr>
    </w:p>
    <w:p>
      <w:pPr>
        <w:adjustRightInd w:val="0"/>
        <w:snapToGrid w:val="0"/>
        <w:spacing w:line="580" w:lineRule="exact"/>
        <w:ind w:firstLine="640" w:firstLineChars="200"/>
        <w:jc w:val="right"/>
        <w:rPr>
          <w:rFonts w:ascii="仿宋_GB2312" w:hAnsi="仿宋_GB2312" w:eastAsia="仿宋_GB2312" w:cs="仿宋_GB2312"/>
          <w:color w:val="000000"/>
          <w:kern w:val="0"/>
          <w:sz w:val="32"/>
          <w:szCs w:val="32"/>
          <w:shd w:val="clear" w:color="auto" w:fill="FFFFFF"/>
        </w:rPr>
      </w:pPr>
    </w:p>
    <w:sectPr>
      <w:footerReference r:id="rId3" w:type="default"/>
      <w:footerReference r:id="rId4" w:type="even"/>
      <w:pgSz w:w="16838" w:h="11906" w:orient="landscape"/>
      <w:pgMar w:top="1701" w:right="1701" w:bottom="1701" w:left="1701"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- 27 -</w:t>
    </w:r>
    <w:r>
      <w:rPr>
        <w:rStyle w:val="10"/>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6119633"/>
      <w:docPartObj>
        <w:docPartGallery w:val="autotext"/>
      </w:docPartObj>
    </w:sdtPr>
    <w:sdtEndPr>
      <w:rPr>
        <w:rFonts w:asciiTheme="minorEastAsia" w:hAnsiTheme="minorEastAsia" w:eastAsiaTheme="minorEastAsia"/>
        <w:sz w:val="28"/>
        <w:szCs w:val="28"/>
      </w:rPr>
    </w:sdtEndPr>
    <w:sdtContent>
      <w:p>
        <w:pPr>
          <w:pStyle w:val="3"/>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26 -</w:t>
        </w:r>
        <w:r>
          <w:rPr>
            <w:rFonts w:asciiTheme="minorEastAsia" w:hAnsiTheme="minorEastAsia" w:eastAsia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E3"/>
    <w:rsid w:val="0001663D"/>
    <w:rsid w:val="00024D31"/>
    <w:rsid w:val="0003738E"/>
    <w:rsid w:val="00060342"/>
    <w:rsid w:val="00092618"/>
    <w:rsid w:val="000965CF"/>
    <w:rsid w:val="000B64CC"/>
    <w:rsid w:val="000E1F59"/>
    <w:rsid w:val="000E32DB"/>
    <w:rsid w:val="001034A3"/>
    <w:rsid w:val="00111973"/>
    <w:rsid w:val="00137E83"/>
    <w:rsid w:val="00155D77"/>
    <w:rsid w:val="00162F47"/>
    <w:rsid w:val="00186495"/>
    <w:rsid w:val="0019542E"/>
    <w:rsid w:val="00197681"/>
    <w:rsid w:val="001B1EE4"/>
    <w:rsid w:val="001C29AB"/>
    <w:rsid w:val="001D319C"/>
    <w:rsid w:val="001E0B64"/>
    <w:rsid w:val="001F3DB0"/>
    <w:rsid w:val="001F5E7C"/>
    <w:rsid w:val="001F65B3"/>
    <w:rsid w:val="001F7BFF"/>
    <w:rsid w:val="00202F06"/>
    <w:rsid w:val="002606BA"/>
    <w:rsid w:val="00270901"/>
    <w:rsid w:val="0028351C"/>
    <w:rsid w:val="002938DC"/>
    <w:rsid w:val="002B7E44"/>
    <w:rsid w:val="002D1466"/>
    <w:rsid w:val="002E09B0"/>
    <w:rsid w:val="00385726"/>
    <w:rsid w:val="003945BE"/>
    <w:rsid w:val="003A0180"/>
    <w:rsid w:val="003A0B50"/>
    <w:rsid w:val="003A5D87"/>
    <w:rsid w:val="003B4598"/>
    <w:rsid w:val="003B5EC8"/>
    <w:rsid w:val="003C570D"/>
    <w:rsid w:val="003D43B5"/>
    <w:rsid w:val="003D7F35"/>
    <w:rsid w:val="004020B7"/>
    <w:rsid w:val="00430FE0"/>
    <w:rsid w:val="00434A2A"/>
    <w:rsid w:val="004550D1"/>
    <w:rsid w:val="004653C1"/>
    <w:rsid w:val="00470926"/>
    <w:rsid w:val="00472B11"/>
    <w:rsid w:val="00485698"/>
    <w:rsid w:val="004B4D8B"/>
    <w:rsid w:val="004C5723"/>
    <w:rsid w:val="004E106C"/>
    <w:rsid w:val="004F0AFE"/>
    <w:rsid w:val="00500683"/>
    <w:rsid w:val="005025E1"/>
    <w:rsid w:val="00504D3B"/>
    <w:rsid w:val="00523F25"/>
    <w:rsid w:val="00531F83"/>
    <w:rsid w:val="005514FD"/>
    <w:rsid w:val="00562E74"/>
    <w:rsid w:val="005902D4"/>
    <w:rsid w:val="0059468B"/>
    <w:rsid w:val="005E2F51"/>
    <w:rsid w:val="005E4268"/>
    <w:rsid w:val="00613885"/>
    <w:rsid w:val="0062089A"/>
    <w:rsid w:val="006231DA"/>
    <w:rsid w:val="00685DBB"/>
    <w:rsid w:val="00690A19"/>
    <w:rsid w:val="00690E5C"/>
    <w:rsid w:val="006B0E57"/>
    <w:rsid w:val="006C322C"/>
    <w:rsid w:val="006E7D00"/>
    <w:rsid w:val="006F3D29"/>
    <w:rsid w:val="007209EB"/>
    <w:rsid w:val="00721426"/>
    <w:rsid w:val="007229C0"/>
    <w:rsid w:val="00730CDD"/>
    <w:rsid w:val="007738B9"/>
    <w:rsid w:val="00783694"/>
    <w:rsid w:val="007962DD"/>
    <w:rsid w:val="007A2B1E"/>
    <w:rsid w:val="007B210C"/>
    <w:rsid w:val="007D6EFC"/>
    <w:rsid w:val="007E40CE"/>
    <w:rsid w:val="007F32AB"/>
    <w:rsid w:val="007F38D5"/>
    <w:rsid w:val="007F5D84"/>
    <w:rsid w:val="00813357"/>
    <w:rsid w:val="008145DD"/>
    <w:rsid w:val="008334A3"/>
    <w:rsid w:val="00847445"/>
    <w:rsid w:val="008675DD"/>
    <w:rsid w:val="00876A64"/>
    <w:rsid w:val="0089530A"/>
    <w:rsid w:val="008B2984"/>
    <w:rsid w:val="008D25C8"/>
    <w:rsid w:val="008D547D"/>
    <w:rsid w:val="008E5110"/>
    <w:rsid w:val="009117D1"/>
    <w:rsid w:val="00925948"/>
    <w:rsid w:val="00925DB3"/>
    <w:rsid w:val="009339A6"/>
    <w:rsid w:val="00961DF6"/>
    <w:rsid w:val="00963D3B"/>
    <w:rsid w:val="009977CC"/>
    <w:rsid w:val="009A4E00"/>
    <w:rsid w:val="009B5655"/>
    <w:rsid w:val="00A12DFB"/>
    <w:rsid w:val="00A313E9"/>
    <w:rsid w:val="00A36934"/>
    <w:rsid w:val="00A37797"/>
    <w:rsid w:val="00A432DC"/>
    <w:rsid w:val="00A512FA"/>
    <w:rsid w:val="00A51A59"/>
    <w:rsid w:val="00A6746F"/>
    <w:rsid w:val="00AD1B0B"/>
    <w:rsid w:val="00AF13D3"/>
    <w:rsid w:val="00B01C61"/>
    <w:rsid w:val="00B049A2"/>
    <w:rsid w:val="00B058D9"/>
    <w:rsid w:val="00B340FA"/>
    <w:rsid w:val="00B37160"/>
    <w:rsid w:val="00B52484"/>
    <w:rsid w:val="00B659FE"/>
    <w:rsid w:val="00B72658"/>
    <w:rsid w:val="00B77BB2"/>
    <w:rsid w:val="00BE3E5D"/>
    <w:rsid w:val="00BE7CA1"/>
    <w:rsid w:val="00C0186A"/>
    <w:rsid w:val="00C40CBD"/>
    <w:rsid w:val="00C606DB"/>
    <w:rsid w:val="00C63F6F"/>
    <w:rsid w:val="00C73936"/>
    <w:rsid w:val="00C74526"/>
    <w:rsid w:val="00C9650F"/>
    <w:rsid w:val="00CC744A"/>
    <w:rsid w:val="00D263DB"/>
    <w:rsid w:val="00D55BCC"/>
    <w:rsid w:val="00D82C9F"/>
    <w:rsid w:val="00DA695B"/>
    <w:rsid w:val="00DC33A4"/>
    <w:rsid w:val="00E11D53"/>
    <w:rsid w:val="00E30727"/>
    <w:rsid w:val="00E57295"/>
    <w:rsid w:val="00E604E3"/>
    <w:rsid w:val="00E83B92"/>
    <w:rsid w:val="00EA11FA"/>
    <w:rsid w:val="00EA4835"/>
    <w:rsid w:val="00EC5350"/>
    <w:rsid w:val="00F147DF"/>
    <w:rsid w:val="00F22FFD"/>
    <w:rsid w:val="00F37F7E"/>
    <w:rsid w:val="00F56944"/>
    <w:rsid w:val="00F6251A"/>
    <w:rsid w:val="00FA1920"/>
    <w:rsid w:val="00FC0972"/>
    <w:rsid w:val="00FC7B96"/>
    <w:rsid w:val="00FD0075"/>
    <w:rsid w:val="00FF7044"/>
    <w:rsid w:val="01C3288E"/>
    <w:rsid w:val="03F67850"/>
    <w:rsid w:val="071A7B83"/>
    <w:rsid w:val="094376A2"/>
    <w:rsid w:val="0CC37F49"/>
    <w:rsid w:val="21C23AD9"/>
    <w:rsid w:val="296D1D7F"/>
    <w:rsid w:val="2ACE1336"/>
    <w:rsid w:val="2FC97C51"/>
    <w:rsid w:val="42655CF4"/>
    <w:rsid w:val="43FC2568"/>
    <w:rsid w:val="4804383F"/>
    <w:rsid w:val="48A23050"/>
    <w:rsid w:val="53DC607E"/>
    <w:rsid w:val="5BA4496B"/>
    <w:rsid w:val="5D9D36F6"/>
    <w:rsid w:val="74857EF8"/>
    <w:rsid w:val="77247215"/>
    <w:rsid w:val="773222CA"/>
    <w:rsid w:val="7A794481"/>
    <w:rsid w:val="7D072FBF"/>
    <w:rsid w:val="7E1C3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0"/>
    <w:rPr>
      <w:rFonts w:cs="Times New Roman"/>
      <w:b/>
      <w:bCs/>
    </w:rPr>
  </w:style>
  <w:style w:type="character" w:styleId="10">
    <w:name w:val="page number"/>
    <w:basedOn w:val="8"/>
    <w:qFormat/>
    <w:uiPriority w:val="0"/>
  </w:style>
  <w:style w:type="character" w:styleId="11">
    <w:name w:val="Hyperlink"/>
    <w:basedOn w:val="8"/>
    <w:unhideWhenUsed/>
    <w:qFormat/>
    <w:uiPriority w:val="99"/>
    <w:rPr>
      <w:color w:val="0000FF"/>
      <w:u w:val="single"/>
    </w:rPr>
  </w:style>
  <w:style w:type="character" w:customStyle="1" w:styleId="12">
    <w:name w:val="apple-converted-space"/>
    <w:basedOn w:val="8"/>
    <w:uiPriority w:val="0"/>
  </w:style>
  <w:style w:type="character" w:customStyle="1" w:styleId="13">
    <w:name w:val="页眉 Char"/>
    <w:link w:val="4"/>
    <w:qFormat/>
    <w:uiPriority w:val="0"/>
    <w:rPr>
      <w:kern w:val="2"/>
      <w:sz w:val="18"/>
      <w:szCs w:val="18"/>
    </w:rPr>
  </w:style>
  <w:style w:type="character" w:customStyle="1" w:styleId="14">
    <w:name w:val="页脚 Char"/>
    <w:link w:val="3"/>
    <w:qFormat/>
    <w:uiPriority w:val="99"/>
    <w:rPr>
      <w:kern w:val="2"/>
      <w:sz w:val="18"/>
      <w:szCs w:val="18"/>
    </w:rPr>
  </w:style>
  <w:style w:type="paragraph" w:customStyle="1" w:styleId="15">
    <w:name w:val="Default Paragraph Char Char Char Char"/>
    <w:basedOn w:val="1"/>
    <w:next w:val="1"/>
    <w:uiPriority w:val="0"/>
    <w:pPr>
      <w:widowControl/>
      <w:spacing w:line="360" w:lineRule="auto"/>
      <w:jc w:val="left"/>
    </w:pPr>
  </w:style>
  <w:style w:type="character" w:customStyle="1" w:styleId="16">
    <w:name w:val="日期 Char"/>
    <w:basedOn w:val="8"/>
    <w:link w:val="2"/>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2335</Words>
  <Characters>13313</Characters>
  <Lines>110</Lines>
  <Paragraphs>31</Paragraphs>
  <TotalTime>2</TotalTime>
  <ScaleCrop>false</ScaleCrop>
  <LinksUpToDate>false</LinksUpToDate>
  <CharactersWithSpaces>15617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2019-03-07T09:28:00Z</dcterms:created>
  <dc:creator>Administrator</dc:creator>
  <cp:lastModifiedBy>が雪</cp:lastModifiedBy>
  <cp:lastPrinted>2019-03-07T07:22:00Z</cp:lastPrinted>
  <dcterms:modified xsi:type="dcterms:W3CDTF">2019-10-29T02:31:35Z</dcterms:modified>
  <dc:title>周职〔2018〕3号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