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shd w:val="clear" w:fill="FFFFFF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shd w:val="clear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751205" cy="396240"/>
                <wp:effectExtent l="0" t="0" r="10795" b="381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500" w:lineRule="exact"/>
                              <w:ind w:left="0" w:right="0"/>
                              <w:jc w:val="both"/>
                              <w:rPr>
                                <w:rFonts w:hint="eastAsia" w:ascii="黑体" w:hAnsi="Calibri" w:eastAsia="黑体" w:cs="黑体"/>
                                <w:sz w:val="32"/>
                                <w:szCs w:val="32"/>
                                <w:bdr w:val="none" w:color="auto" w:sz="0" w:space="0"/>
                                <w:shd w:val="clear" w:fil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Calibri" w:eastAsia="黑体" w:cs="黑体"/>
                                <w:kern w:val="2"/>
                                <w:sz w:val="32"/>
                                <w:szCs w:val="32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附件3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pt;margin-top:-39pt;height:31.2pt;width:59.15pt;z-index:251659264;mso-width-relative:page;mso-height-relative:page;" fillcolor="#FFFFFF" filled="t" stroked="f" coordsize="21600,21600" o:gfxdata="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EaqALW&#10;AAAACAEAAA8AAAAAAAAAAQAgAAAAIgAAAGRycy9kb3ducmV2LnhtbFBLAQIUABQAAAAIAIdO4kAg&#10;XMuGsAEAADYDAAAOAAAAAAAAAAEAIAAAACU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500" w:lineRule="exact"/>
                        <w:ind w:left="0" w:right="0"/>
                        <w:jc w:val="both"/>
                        <w:rPr>
                          <w:rFonts w:hint="eastAsia" w:ascii="黑体" w:hAnsi="Calibri" w:eastAsia="黑体" w:cs="黑体"/>
                          <w:sz w:val="32"/>
                          <w:szCs w:val="32"/>
                          <w:bdr w:val="none" w:color="auto" w:sz="0" w:space="0"/>
                          <w:shd w:val="clear" w:fill="FFFFFF"/>
                          <w:lang w:val="en-US"/>
                        </w:rPr>
                      </w:pPr>
                      <w:r>
                        <w:rPr>
                          <w:rFonts w:hint="eastAsia" w:ascii="黑体" w:hAnsi="Calibri" w:eastAsia="黑体" w:cs="黑体"/>
                          <w:kern w:val="2"/>
                          <w:sz w:val="32"/>
                          <w:szCs w:val="32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u w:val="single"/>
          <w:shd w:val="clear" w:fill="FFFFFF"/>
          <w:lang w:val="en-US"/>
        </w:rPr>
        <w:t xml:space="preserve">         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shd w:val="clear" w:fill="FFFFFF"/>
          <w:lang w:eastAsia="zh-CN"/>
        </w:rPr>
        <w:t>单位高层次专业技术人员基本情况汇总表</w:t>
      </w:r>
    </w:p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/>
        <w:ind w:left="0" w:right="0" w:firstLine="641"/>
        <w:jc w:val="left"/>
        <w:rPr>
          <w:rFonts w:hint="eastAsia" w:ascii="宋体" w:hAnsi="宋体" w:eastAsia="宋体" w:cs="宋体"/>
          <w:kern w:val="0"/>
          <w:szCs w:val="21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00" w:lineRule="exact"/>
        <w:ind w:left="0" w:right="0"/>
        <w:jc w:val="left"/>
        <w:rPr>
          <w:rFonts w:hint="eastAsia" w:ascii="仿宋_GB2312" w:hAnsi="宋体" w:eastAsia="仿宋_GB2312" w:cs="宋体"/>
          <w:kern w:val="0"/>
          <w:sz w:val="30"/>
          <w:szCs w:val="30"/>
          <w:shd w:val="clear" w:fill="FFFFFF"/>
          <w:lang w:val="en-US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shd w:val="clear" w:fill="FFFFFF"/>
          <w:lang w:val="en-US" w:eastAsia="zh-CN" w:bidi="ar"/>
        </w:rPr>
        <w:t>单位盖章：                                                 填表时间：</w:t>
      </w:r>
    </w:p>
    <w:tbl>
      <w:tblPr>
        <w:tblStyle w:val="2"/>
        <w:tblpPr w:leftFromText="180" w:rightFromText="180" w:vertAnchor="page" w:horzAnchor="page" w:tblpX="292" w:tblpY="3124"/>
        <w:tblW w:w="15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75"/>
        <w:gridCol w:w="1089"/>
        <w:gridCol w:w="743"/>
        <w:gridCol w:w="1013"/>
        <w:gridCol w:w="1200"/>
        <w:gridCol w:w="1200"/>
        <w:gridCol w:w="1200"/>
        <w:gridCol w:w="1200"/>
        <w:gridCol w:w="1200"/>
        <w:gridCol w:w="120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专 家 类 型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具体工作单位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岗位现状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编制类型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行政职务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从事专业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 w:bidi="ar"/>
              </w:rPr>
              <w:t>享受国务院特殊津贴人员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1"/>
                <w:szCs w:val="21"/>
                <w:lang w:val="en-US" w:eastAsia="zh-CN" w:bidi="ar"/>
              </w:rPr>
              <w:t>享受河南省政府特殊津贴人员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 w:bidi="ar"/>
              </w:rPr>
              <w:t>河南省学术技术带头人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 w:bidi="ar"/>
              </w:rPr>
              <w:t>周口市学术技术带头人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 w:bidi="ar"/>
              </w:rPr>
              <w:t>河南省职业教育教学专家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4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 w:bidi="ar"/>
              </w:rPr>
              <w:t>周口市职业教育教学专家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/>
        <w:ind w:left="840" w:leftChars="-200" w:right="-493" w:rightChars="-235" w:hanging="1260" w:hangingChars="60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填表说明：1.此表信息请与《高层次专业技术人才基本情况确认表》相一致，由单位填写盖章；2.根据各局委情况，表格可以增加和删减；3.岗位现状从在职、离岗、调出、退休中选填；4.岗位类别可从管理岗位、专业技术岗位、工勤岗位中选填；5.编制类型可从机关行政、参公管理事业单位、全供事业单位、差补事业单位、自收自支事业单位中选填。表格可从人力资源和社会保障局网站，专业技术人才栏目下载中心下载excel表格填写。</w:t>
      </w: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C0BDC"/>
    <w:rsid w:val="2399148F"/>
    <w:rsid w:val="4B4B769D"/>
    <w:rsid w:val="5AB22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が雪</cp:lastModifiedBy>
  <dcterms:modified xsi:type="dcterms:W3CDTF">2019-10-15T08:06:00Z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